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B946" w14:textId="507157E5" w:rsidR="00CB5B38" w:rsidRDefault="00994E48" w:rsidP="00B8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" w:after="20" w:line="320" w:lineRule="exact"/>
        <w:jc w:val="center"/>
        <w:rPr>
          <w:b/>
          <w:lang w:val="en-AU"/>
        </w:rPr>
      </w:pPr>
      <w:r w:rsidRPr="005C31D5">
        <w:rPr>
          <w:b/>
          <w:lang w:val="en-AU"/>
        </w:rPr>
        <w:t xml:space="preserve">ASPS Treasurer’s </w:t>
      </w:r>
      <w:r w:rsidR="0007389F">
        <w:rPr>
          <w:b/>
          <w:lang w:val="en-AU"/>
        </w:rPr>
        <w:t>Report for the Period 1 May 2017 – 30 Apr 2018</w:t>
      </w:r>
    </w:p>
    <w:p w14:paraId="41482DE5" w14:textId="01466177" w:rsidR="00994E48" w:rsidRPr="005C31D5" w:rsidRDefault="00994E48" w:rsidP="00B8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" w:after="20" w:line="320" w:lineRule="exact"/>
        <w:jc w:val="center"/>
        <w:rPr>
          <w:b/>
          <w:lang w:val="en-AU"/>
        </w:rPr>
      </w:pPr>
      <w:r w:rsidRPr="005C31D5">
        <w:rPr>
          <w:b/>
          <w:lang w:val="en-AU"/>
        </w:rPr>
        <w:t xml:space="preserve">Prepared by </w:t>
      </w:r>
      <w:r w:rsidR="00B65063" w:rsidRPr="005C31D5">
        <w:rPr>
          <w:b/>
          <w:lang w:val="en-AU"/>
        </w:rPr>
        <w:t>Rosemary White</w:t>
      </w:r>
      <w:r w:rsidRPr="005C31D5">
        <w:rPr>
          <w:b/>
          <w:lang w:val="en-AU"/>
        </w:rPr>
        <w:t xml:space="preserve"> (ASPS Honorary Treasurer)</w:t>
      </w:r>
    </w:p>
    <w:p w14:paraId="09157D37" w14:textId="0F08BBEF" w:rsidR="00670AFE" w:rsidRPr="005C31D5" w:rsidRDefault="00994E48" w:rsidP="00B8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" w:after="20" w:line="320" w:lineRule="exact"/>
        <w:jc w:val="center"/>
        <w:rPr>
          <w:b/>
          <w:lang w:val="en-AU"/>
        </w:rPr>
      </w:pPr>
      <w:r w:rsidRPr="005C31D5">
        <w:rPr>
          <w:b/>
          <w:lang w:val="en-AU"/>
        </w:rPr>
        <w:t>Pre</w:t>
      </w:r>
      <w:r w:rsidR="00433155" w:rsidRPr="005C31D5">
        <w:rPr>
          <w:b/>
          <w:lang w:val="en-AU"/>
        </w:rPr>
        <w:t xml:space="preserve">sented at the AGM on </w:t>
      </w:r>
      <w:r w:rsidR="00E278E0">
        <w:rPr>
          <w:b/>
          <w:lang w:val="en-AU"/>
        </w:rPr>
        <w:t>Tuesday 25</w:t>
      </w:r>
      <w:r w:rsidR="0007389F">
        <w:rPr>
          <w:b/>
          <w:lang w:val="en-AU"/>
        </w:rPr>
        <w:t xml:space="preserve">th </w:t>
      </w:r>
      <w:r w:rsidR="00E278E0">
        <w:rPr>
          <w:b/>
          <w:lang w:val="en-AU"/>
        </w:rPr>
        <w:t>September</w:t>
      </w:r>
      <w:r w:rsidR="0007389F">
        <w:rPr>
          <w:b/>
          <w:lang w:val="en-AU"/>
        </w:rPr>
        <w:t xml:space="preserve"> 2018</w:t>
      </w:r>
    </w:p>
    <w:p w14:paraId="51237B1B" w14:textId="77777777" w:rsidR="00994E48" w:rsidRDefault="00994E48">
      <w:pPr>
        <w:rPr>
          <w:lang w:val="en-AU"/>
        </w:rPr>
      </w:pPr>
    </w:p>
    <w:p w14:paraId="59368D4E" w14:textId="77777777" w:rsidR="00994E48" w:rsidRPr="005C31D5" w:rsidRDefault="00994E48" w:rsidP="00A93910">
      <w:pPr>
        <w:spacing w:after="120"/>
        <w:rPr>
          <w:b/>
          <w:lang w:val="en-AU"/>
        </w:rPr>
      </w:pPr>
      <w:r w:rsidRPr="005C31D5">
        <w:rPr>
          <w:b/>
          <w:lang w:val="en-AU"/>
        </w:rPr>
        <w:t>BUDGET</w:t>
      </w:r>
    </w:p>
    <w:p w14:paraId="44F7AB70" w14:textId="40113D74" w:rsidR="00994E48" w:rsidRDefault="00994E48" w:rsidP="00994E48">
      <w:pPr>
        <w:rPr>
          <w:lang w:val="en-AU"/>
        </w:rPr>
      </w:pPr>
      <w:r w:rsidRPr="00994E48">
        <w:rPr>
          <w:lang w:val="en-AU"/>
        </w:rPr>
        <w:t>The financial position</w:t>
      </w:r>
      <w:r w:rsidR="00B86A53">
        <w:rPr>
          <w:lang w:val="en-AU"/>
        </w:rPr>
        <w:t xml:space="preserve"> of the Society</w:t>
      </w:r>
      <w:r w:rsidRPr="00994E48">
        <w:rPr>
          <w:lang w:val="en-AU"/>
        </w:rPr>
        <w:t>, f</w:t>
      </w:r>
      <w:r w:rsidR="0007389F">
        <w:rPr>
          <w:lang w:val="en-AU"/>
        </w:rPr>
        <w:t>or the financial year 1 May 2017</w:t>
      </w:r>
      <w:r w:rsidRPr="00994E48">
        <w:rPr>
          <w:lang w:val="en-AU"/>
        </w:rPr>
        <w:t xml:space="preserve"> - 30 </w:t>
      </w:r>
      <w:r w:rsidR="0007389F" w:rsidRPr="00994E48">
        <w:rPr>
          <w:lang w:val="en-AU"/>
        </w:rPr>
        <w:t xml:space="preserve">April </w:t>
      </w:r>
      <w:r w:rsidR="0007389F">
        <w:rPr>
          <w:lang w:val="en-AU"/>
        </w:rPr>
        <w:t>2018</w:t>
      </w:r>
      <w:r w:rsidR="00B86A53">
        <w:rPr>
          <w:lang w:val="en-AU"/>
        </w:rPr>
        <w:t>,</w:t>
      </w:r>
      <w:r w:rsidRPr="00994E48">
        <w:rPr>
          <w:lang w:val="en-AU"/>
        </w:rPr>
        <w:t xml:space="preserve"> remains sound</w:t>
      </w:r>
      <w:r w:rsidR="00B86A53">
        <w:rPr>
          <w:lang w:val="en-AU"/>
        </w:rPr>
        <w:t>. As in other years,</w:t>
      </w:r>
      <w:r w:rsidRPr="00994E48">
        <w:rPr>
          <w:lang w:val="en-AU"/>
        </w:rPr>
        <w:t xml:space="preserve"> some flexibility </w:t>
      </w:r>
      <w:r w:rsidR="00B86A53">
        <w:rPr>
          <w:lang w:val="en-AU"/>
        </w:rPr>
        <w:t xml:space="preserve">is needed </w:t>
      </w:r>
      <w:r w:rsidRPr="00994E48">
        <w:rPr>
          <w:lang w:val="en-AU"/>
        </w:rPr>
        <w:t xml:space="preserve">as expenses for ASPS activities </w:t>
      </w:r>
      <w:r w:rsidR="00B86A53">
        <w:rPr>
          <w:lang w:val="en-AU"/>
        </w:rPr>
        <w:t xml:space="preserve">do not always coincide </w:t>
      </w:r>
      <w:r w:rsidRPr="00994E48">
        <w:rPr>
          <w:lang w:val="en-AU"/>
        </w:rPr>
        <w:t>with annual cycles</w:t>
      </w:r>
      <w:r w:rsidR="001E4A1C">
        <w:rPr>
          <w:lang w:val="en-AU"/>
        </w:rPr>
        <w:t xml:space="preserve"> </w:t>
      </w:r>
      <w:r w:rsidR="00B25EB3">
        <w:rPr>
          <w:lang w:val="en-AU"/>
        </w:rPr>
        <w:t>of income returns. In 2017/2018</w:t>
      </w:r>
      <w:r w:rsidRPr="00994E48">
        <w:rPr>
          <w:lang w:val="en-AU"/>
        </w:rPr>
        <w:t>, this culminated in a</w:t>
      </w:r>
      <w:r w:rsidR="00B25EB3">
        <w:rPr>
          <w:lang w:val="en-AU"/>
        </w:rPr>
        <w:t xml:space="preserve">n </w:t>
      </w:r>
      <w:r w:rsidR="00CA15FB">
        <w:rPr>
          <w:lang w:val="en-AU"/>
        </w:rPr>
        <w:t>end of year</w:t>
      </w:r>
      <w:r w:rsidR="00D215BD">
        <w:rPr>
          <w:lang w:val="en-AU"/>
        </w:rPr>
        <w:t xml:space="preserve"> operating deficit of $15</w:t>
      </w:r>
      <w:r w:rsidR="00B25EB3">
        <w:rPr>
          <w:lang w:val="en-AU"/>
        </w:rPr>
        <w:t>,</w:t>
      </w:r>
      <w:r w:rsidR="00D215BD">
        <w:rPr>
          <w:lang w:val="en-AU"/>
        </w:rPr>
        <w:t>346.14</w:t>
      </w:r>
      <w:r w:rsidR="00B25EB3">
        <w:rPr>
          <w:lang w:val="en-AU"/>
        </w:rPr>
        <w:t>, in comparison with a</w:t>
      </w:r>
      <w:r w:rsidRPr="00994E48">
        <w:rPr>
          <w:lang w:val="en-AU"/>
        </w:rPr>
        <w:t xml:space="preserve"> </w:t>
      </w:r>
      <w:r w:rsidR="00BD596A">
        <w:rPr>
          <w:lang w:val="en-AU"/>
        </w:rPr>
        <w:t>surplus</w:t>
      </w:r>
      <w:r w:rsidR="00B86A53">
        <w:rPr>
          <w:lang w:val="en-AU"/>
        </w:rPr>
        <w:t xml:space="preserve"> of </w:t>
      </w:r>
      <w:r w:rsidRPr="00994E48">
        <w:rPr>
          <w:lang w:val="en-AU"/>
        </w:rPr>
        <w:t>$</w:t>
      </w:r>
      <w:r w:rsidR="00920F36">
        <w:rPr>
          <w:lang w:val="en-AU"/>
        </w:rPr>
        <w:t>12</w:t>
      </w:r>
      <w:r w:rsidR="00241FF5">
        <w:rPr>
          <w:lang w:val="en-AU"/>
        </w:rPr>
        <w:t>,</w:t>
      </w:r>
      <w:r w:rsidR="00920F36">
        <w:rPr>
          <w:lang w:val="en-AU"/>
        </w:rPr>
        <w:t>798</w:t>
      </w:r>
      <w:r w:rsidR="00241FF5">
        <w:rPr>
          <w:lang w:val="en-AU"/>
        </w:rPr>
        <w:t>.41</w:t>
      </w:r>
      <w:r w:rsidRPr="00994E48">
        <w:rPr>
          <w:lang w:val="en-AU"/>
        </w:rPr>
        <w:t xml:space="preserve"> in</w:t>
      </w:r>
      <w:r w:rsidR="00B25EB3">
        <w:rPr>
          <w:lang w:val="en-AU"/>
        </w:rPr>
        <w:t xml:space="preserve"> 2016/2017</w:t>
      </w:r>
      <w:r w:rsidRPr="00994E48">
        <w:rPr>
          <w:lang w:val="en-AU"/>
        </w:rPr>
        <w:t>. These d</w:t>
      </w:r>
      <w:r w:rsidR="001E4A1C">
        <w:rPr>
          <w:lang w:val="en-AU"/>
        </w:rPr>
        <w:t xml:space="preserve">ifferences </w:t>
      </w:r>
      <w:r w:rsidR="00676BE9">
        <w:rPr>
          <w:lang w:val="en-AU"/>
        </w:rPr>
        <w:t xml:space="preserve">arise </w:t>
      </w:r>
      <w:r w:rsidR="00924BD9">
        <w:rPr>
          <w:lang w:val="en-AU"/>
        </w:rPr>
        <w:t>largely</w:t>
      </w:r>
      <w:r w:rsidR="001E4A1C">
        <w:rPr>
          <w:lang w:val="en-AU"/>
        </w:rPr>
        <w:t xml:space="preserve"> from </w:t>
      </w:r>
      <w:r w:rsidR="00676BE9">
        <w:rPr>
          <w:lang w:val="en-AU"/>
        </w:rPr>
        <w:t>differences in</w:t>
      </w:r>
      <w:r w:rsidRPr="00994E48">
        <w:rPr>
          <w:lang w:val="en-AU"/>
        </w:rPr>
        <w:t xml:space="preserve"> conference income from </w:t>
      </w:r>
      <w:r w:rsidR="00676BE9">
        <w:rPr>
          <w:lang w:val="en-AU"/>
        </w:rPr>
        <w:t xml:space="preserve">the </w:t>
      </w:r>
      <w:r w:rsidR="00DF1994">
        <w:rPr>
          <w:lang w:val="en-AU"/>
        </w:rPr>
        <w:t>two</w:t>
      </w:r>
      <w:r w:rsidRPr="00994E48">
        <w:rPr>
          <w:lang w:val="en-AU"/>
        </w:rPr>
        <w:t xml:space="preserve"> previous year</w:t>
      </w:r>
      <w:r w:rsidR="00DF1994">
        <w:rPr>
          <w:lang w:val="en-AU"/>
        </w:rPr>
        <w:t xml:space="preserve">s. As of </w:t>
      </w:r>
      <w:r w:rsidR="003C310B">
        <w:rPr>
          <w:lang w:val="en-AU"/>
        </w:rPr>
        <w:t xml:space="preserve">30 </w:t>
      </w:r>
      <w:proofErr w:type="gramStart"/>
      <w:r w:rsidR="00B25EB3">
        <w:rPr>
          <w:lang w:val="en-AU"/>
        </w:rPr>
        <w:t>April,</w:t>
      </w:r>
      <w:proofErr w:type="gramEnd"/>
      <w:r w:rsidR="00B25EB3">
        <w:rPr>
          <w:lang w:val="en-AU"/>
        </w:rPr>
        <w:t xml:space="preserve"> 2018</w:t>
      </w:r>
      <w:r w:rsidRPr="00994E48">
        <w:rPr>
          <w:lang w:val="en-AU"/>
        </w:rPr>
        <w:t xml:space="preserve"> our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accumulated funds in</w:t>
      </w:r>
      <w:r w:rsidR="00676BE9">
        <w:rPr>
          <w:lang w:val="en-AU"/>
        </w:rPr>
        <w:t xml:space="preserve"> the Commonwealth Bank </w:t>
      </w:r>
      <w:proofErr w:type="spellStart"/>
      <w:r w:rsidR="00676BE9">
        <w:rPr>
          <w:lang w:val="en-AU"/>
        </w:rPr>
        <w:t>totaled</w:t>
      </w:r>
      <w:proofErr w:type="spellEnd"/>
      <w:r w:rsidR="00676BE9" w:rsidRPr="00382A05">
        <w:rPr>
          <w:color w:val="000000" w:themeColor="text1"/>
          <w:lang w:val="en-AU"/>
        </w:rPr>
        <w:t xml:space="preserve"> </w:t>
      </w:r>
      <w:r w:rsidRPr="00382A05">
        <w:rPr>
          <w:color w:val="000000" w:themeColor="text1"/>
          <w:lang w:val="en-AU"/>
        </w:rPr>
        <w:t>$</w:t>
      </w:r>
      <w:r w:rsidR="00D215BD">
        <w:rPr>
          <w:color w:val="000000" w:themeColor="text1"/>
          <w:lang w:val="en-AU"/>
        </w:rPr>
        <w:t>125,452</w:t>
      </w:r>
      <w:r w:rsidR="00382A05" w:rsidRPr="00382A05">
        <w:rPr>
          <w:color w:val="000000" w:themeColor="text1"/>
          <w:lang w:val="en-AU"/>
        </w:rPr>
        <w:t>.</w:t>
      </w:r>
      <w:r w:rsidR="00D215BD">
        <w:rPr>
          <w:color w:val="000000" w:themeColor="text1"/>
          <w:lang w:val="en-AU"/>
        </w:rPr>
        <w:t>71</w:t>
      </w:r>
      <w:r w:rsidR="00A75E7C">
        <w:rPr>
          <w:color w:val="000000" w:themeColor="text1"/>
          <w:lang w:val="en-AU"/>
        </w:rPr>
        <w:t xml:space="preserve"> ($8,827.25 Transaction Account plus $116,625.46 Online Saver Account)</w:t>
      </w:r>
      <w:r w:rsidRPr="00382A05">
        <w:rPr>
          <w:color w:val="000000" w:themeColor="text1"/>
          <w:lang w:val="en-AU"/>
        </w:rPr>
        <w:t xml:space="preserve"> </w:t>
      </w:r>
      <w:r w:rsidRPr="00994E48">
        <w:rPr>
          <w:lang w:val="en-AU"/>
        </w:rPr>
        <w:t xml:space="preserve">and the RN </w:t>
      </w:r>
      <w:r w:rsidRPr="00920F36">
        <w:rPr>
          <w:color w:val="000000" w:themeColor="text1"/>
          <w:lang w:val="en-AU"/>
        </w:rPr>
        <w:t>Robertson Fund</w:t>
      </w:r>
      <w:r w:rsidR="001E4A1C" w:rsidRPr="00920F36">
        <w:rPr>
          <w:color w:val="000000" w:themeColor="text1"/>
          <w:lang w:val="en-AU"/>
        </w:rPr>
        <w:t xml:space="preserve"> </w:t>
      </w:r>
      <w:r w:rsidR="00130E90" w:rsidRPr="00920F36">
        <w:rPr>
          <w:color w:val="000000" w:themeColor="text1"/>
          <w:lang w:val="en-AU"/>
        </w:rPr>
        <w:t>$</w:t>
      </w:r>
      <w:r w:rsidR="00920F36" w:rsidRPr="00920F36">
        <w:rPr>
          <w:color w:val="000000" w:themeColor="text1"/>
          <w:lang w:val="en-AU"/>
        </w:rPr>
        <w:t>90,133.49</w:t>
      </w:r>
      <w:r w:rsidRPr="00920F36">
        <w:rPr>
          <w:color w:val="000000" w:themeColor="text1"/>
          <w:lang w:val="en-AU"/>
        </w:rPr>
        <w:t xml:space="preserve"> (which includes </w:t>
      </w:r>
      <w:r w:rsidR="00130E90" w:rsidRPr="00920F36">
        <w:rPr>
          <w:color w:val="000000" w:themeColor="text1"/>
          <w:lang w:val="en-AU"/>
        </w:rPr>
        <w:t>$</w:t>
      </w:r>
      <w:r w:rsidR="00920F36" w:rsidRPr="00920F36">
        <w:rPr>
          <w:color w:val="000000" w:themeColor="text1"/>
          <w:lang w:val="en-AU"/>
        </w:rPr>
        <w:t>3,047.99</w:t>
      </w:r>
      <w:r w:rsidR="00D215BD">
        <w:rPr>
          <w:color w:val="000000" w:themeColor="text1"/>
          <w:lang w:val="en-AU"/>
        </w:rPr>
        <w:t xml:space="preserve"> annual</w:t>
      </w:r>
      <w:r w:rsidRPr="00920F36">
        <w:rPr>
          <w:color w:val="000000" w:themeColor="text1"/>
          <w:lang w:val="en-AU"/>
        </w:rPr>
        <w:t xml:space="preserve"> interest). Bank interest from our </w:t>
      </w:r>
      <w:r w:rsidRPr="00994E48">
        <w:rPr>
          <w:lang w:val="en-AU"/>
        </w:rPr>
        <w:t>Commonwealth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accou</w:t>
      </w:r>
      <w:r w:rsidR="003C310B">
        <w:rPr>
          <w:lang w:val="en-AU"/>
        </w:rPr>
        <w:t xml:space="preserve">nts </w:t>
      </w:r>
      <w:proofErr w:type="spellStart"/>
      <w:r w:rsidR="003C310B">
        <w:rPr>
          <w:lang w:val="en-AU"/>
        </w:rPr>
        <w:t>total</w:t>
      </w:r>
      <w:r w:rsidR="003C310B" w:rsidRPr="00382A05">
        <w:rPr>
          <w:color w:val="000000" w:themeColor="text1"/>
          <w:lang w:val="en-AU"/>
        </w:rPr>
        <w:t>ed</w:t>
      </w:r>
      <w:proofErr w:type="spellEnd"/>
      <w:r w:rsidR="003C310B" w:rsidRPr="00382A05">
        <w:rPr>
          <w:color w:val="000000" w:themeColor="text1"/>
          <w:lang w:val="en-AU"/>
        </w:rPr>
        <w:t xml:space="preserve"> $</w:t>
      </w:r>
      <w:r w:rsidR="00920F36">
        <w:rPr>
          <w:color w:val="000000" w:themeColor="text1"/>
          <w:lang w:val="en-AU"/>
        </w:rPr>
        <w:t>6</w:t>
      </w:r>
      <w:r w:rsidR="00D215BD">
        <w:rPr>
          <w:color w:val="000000" w:themeColor="text1"/>
          <w:lang w:val="en-AU"/>
        </w:rPr>
        <w:t>53.67</w:t>
      </w:r>
      <w:r w:rsidR="00130E90" w:rsidRPr="00382A05">
        <w:rPr>
          <w:color w:val="000000" w:themeColor="text1"/>
          <w:lang w:val="en-AU"/>
        </w:rPr>
        <w:t>. N</w:t>
      </w:r>
      <w:r w:rsidR="00130E90">
        <w:rPr>
          <w:lang w:val="en-AU"/>
        </w:rPr>
        <w:t>ote that</w:t>
      </w:r>
      <w:r w:rsidR="00920F36">
        <w:rPr>
          <w:lang w:val="en-AU"/>
        </w:rPr>
        <w:t xml:space="preserve"> $23</w:t>
      </w:r>
      <w:r w:rsidRPr="00994E48">
        <w:rPr>
          <w:lang w:val="en-AU"/>
        </w:rPr>
        <w:t>,000 of the Commonwealth Bank account belongs to the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Robertson Fund based on a previous decision made at the 2009 AGM.</w:t>
      </w:r>
    </w:p>
    <w:p w14:paraId="59829DCB" w14:textId="77777777" w:rsidR="001E4A1C" w:rsidRPr="00994E48" w:rsidRDefault="001E4A1C" w:rsidP="00994E48">
      <w:pPr>
        <w:rPr>
          <w:lang w:val="en-AU"/>
        </w:rPr>
      </w:pPr>
    </w:p>
    <w:p w14:paraId="6C78BEC0" w14:textId="77777777" w:rsidR="00994E48" w:rsidRPr="00FB27B3" w:rsidRDefault="00994E48" w:rsidP="003C310B">
      <w:pPr>
        <w:spacing w:after="120"/>
        <w:rPr>
          <w:b/>
          <w:lang w:val="en-AU"/>
        </w:rPr>
      </w:pPr>
      <w:r w:rsidRPr="00FB27B3">
        <w:rPr>
          <w:b/>
          <w:lang w:val="en-AU"/>
        </w:rPr>
        <w:t>ASPS INCOME</w:t>
      </w:r>
    </w:p>
    <w:p w14:paraId="447577E6" w14:textId="4F99F67F" w:rsidR="00E0553B" w:rsidRDefault="00994E48" w:rsidP="002C132D">
      <w:pPr>
        <w:spacing w:after="120"/>
        <w:ind w:left="142"/>
        <w:rPr>
          <w:lang w:val="en-AU"/>
        </w:rPr>
      </w:pPr>
      <w:r w:rsidRPr="00994E48">
        <w:rPr>
          <w:lang w:val="en-AU"/>
        </w:rPr>
        <w:t xml:space="preserve">ASPS </w:t>
      </w:r>
      <w:proofErr w:type="gramStart"/>
      <w:r w:rsidRPr="00994E48">
        <w:rPr>
          <w:lang w:val="en-AU"/>
        </w:rPr>
        <w:t>has</w:t>
      </w:r>
      <w:proofErr w:type="gramEnd"/>
      <w:r w:rsidRPr="00994E48">
        <w:rPr>
          <w:lang w:val="en-AU"/>
        </w:rPr>
        <w:t xml:space="preserve"> three main sources of income: 1) a proportion of the profits from conferences we</w:t>
      </w:r>
      <w:r w:rsidR="001E4A1C">
        <w:rPr>
          <w:lang w:val="en-AU"/>
        </w:rPr>
        <w:t xml:space="preserve"> </w:t>
      </w:r>
      <w:r w:rsidR="00DF1994">
        <w:rPr>
          <w:lang w:val="en-AU"/>
        </w:rPr>
        <w:t xml:space="preserve">support (i.e. </w:t>
      </w:r>
      <w:proofErr w:type="spellStart"/>
      <w:r w:rsidR="00DF1994">
        <w:rPr>
          <w:lang w:val="en-AU"/>
        </w:rPr>
        <w:t>ComB</w:t>
      </w:r>
      <w:r w:rsidRPr="00994E48">
        <w:rPr>
          <w:lang w:val="en-AU"/>
        </w:rPr>
        <w:t>io</w:t>
      </w:r>
      <w:proofErr w:type="spellEnd"/>
      <w:r w:rsidRPr="00994E48">
        <w:rPr>
          <w:lang w:val="en-AU"/>
        </w:rPr>
        <w:t>); 2) ASPS membership subscriptions and web-based advertising and 3)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 xml:space="preserve">bank interest and donations. We received </w:t>
      </w:r>
      <w:r w:rsidR="00130E90">
        <w:rPr>
          <w:lang w:val="en-AU"/>
        </w:rPr>
        <w:t>$</w:t>
      </w:r>
      <w:r w:rsidR="00E0553B" w:rsidRPr="00E0553B">
        <w:rPr>
          <w:lang w:val="en-AU"/>
        </w:rPr>
        <w:t>10</w:t>
      </w:r>
      <w:r w:rsidR="00E0553B">
        <w:rPr>
          <w:lang w:val="en-AU"/>
        </w:rPr>
        <w:t>,</w:t>
      </w:r>
      <w:r w:rsidR="00E0553B" w:rsidRPr="00E0553B">
        <w:rPr>
          <w:lang w:val="en-AU"/>
        </w:rPr>
        <w:t>844.95</w:t>
      </w:r>
      <w:r w:rsidR="00E0553B">
        <w:rPr>
          <w:lang w:val="en-AU"/>
        </w:rPr>
        <w:t xml:space="preserve"> in</w:t>
      </w:r>
      <w:r w:rsidR="00E0553B" w:rsidRPr="00994E48">
        <w:rPr>
          <w:lang w:val="en-AU"/>
        </w:rPr>
        <w:t xml:space="preserve"> conference </w:t>
      </w:r>
      <w:r w:rsidR="00E0553B">
        <w:rPr>
          <w:lang w:val="en-AU"/>
        </w:rPr>
        <w:t>proceeds</w:t>
      </w:r>
      <w:r w:rsidR="00E0553B" w:rsidRPr="00994E48">
        <w:rPr>
          <w:lang w:val="en-AU"/>
        </w:rPr>
        <w:t xml:space="preserve"> from </w:t>
      </w:r>
      <w:proofErr w:type="spellStart"/>
      <w:r w:rsidR="00E0553B" w:rsidRPr="00994E48">
        <w:rPr>
          <w:lang w:val="en-AU"/>
        </w:rPr>
        <w:t>ComBio</w:t>
      </w:r>
      <w:proofErr w:type="spellEnd"/>
      <w:r w:rsidR="00E0553B">
        <w:rPr>
          <w:lang w:val="en-AU"/>
        </w:rPr>
        <w:t xml:space="preserve"> </w:t>
      </w:r>
      <w:r w:rsidR="00E0553B" w:rsidRPr="00994E48">
        <w:rPr>
          <w:lang w:val="en-AU"/>
        </w:rPr>
        <w:t>201</w:t>
      </w:r>
      <w:r w:rsidR="00E0553B">
        <w:rPr>
          <w:lang w:val="en-AU"/>
        </w:rPr>
        <w:t xml:space="preserve">7 in Adelaide, following $7,236.54 from </w:t>
      </w:r>
      <w:proofErr w:type="spellStart"/>
      <w:r w:rsidR="00E0553B">
        <w:rPr>
          <w:lang w:val="en-AU"/>
        </w:rPr>
        <w:t>ComBio</w:t>
      </w:r>
      <w:proofErr w:type="spellEnd"/>
      <w:r w:rsidR="00E0553B">
        <w:rPr>
          <w:lang w:val="en-AU"/>
        </w:rPr>
        <w:t xml:space="preserve"> 2016 in Brisbane and $</w:t>
      </w:r>
      <w:r w:rsidR="00130E90">
        <w:rPr>
          <w:lang w:val="en-AU"/>
        </w:rPr>
        <w:t>17,065.16</w:t>
      </w:r>
      <w:r w:rsidRPr="00994E48">
        <w:rPr>
          <w:lang w:val="en-AU"/>
        </w:rPr>
        <w:t xml:space="preserve"> from </w:t>
      </w:r>
      <w:proofErr w:type="spellStart"/>
      <w:r w:rsidRPr="00994E48">
        <w:rPr>
          <w:lang w:val="en-AU"/>
        </w:rPr>
        <w:t>ComBio</w:t>
      </w:r>
      <w:proofErr w:type="spellEnd"/>
      <w:r w:rsidR="001E4A1C">
        <w:rPr>
          <w:lang w:val="en-AU"/>
        </w:rPr>
        <w:t xml:space="preserve"> </w:t>
      </w:r>
      <w:r w:rsidRPr="00994E48">
        <w:rPr>
          <w:lang w:val="en-AU"/>
        </w:rPr>
        <w:t>201</w:t>
      </w:r>
      <w:r w:rsidR="00DF1994">
        <w:rPr>
          <w:lang w:val="en-AU"/>
        </w:rPr>
        <w:t>5</w:t>
      </w:r>
      <w:r w:rsidRPr="00994E48">
        <w:rPr>
          <w:lang w:val="en-AU"/>
        </w:rPr>
        <w:t xml:space="preserve"> in </w:t>
      </w:r>
      <w:r w:rsidR="00BA10C7">
        <w:rPr>
          <w:lang w:val="en-AU"/>
        </w:rPr>
        <w:t>Melbourne</w:t>
      </w:r>
      <w:r w:rsidRPr="00994E48">
        <w:rPr>
          <w:lang w:val="en-AU"/>
        </w:rPr>
        <w:t>.</w:t>
      </w:r>
      <w:r w:rsidR="00E0553B">
        <w:rPr>
          <w:lang w:val="en-AU"/>
        </w:rPr>
        <w:t xml:space="preserve"> Because the </w:t>
      </w:r>
      <w:proofErr w:type="spellStart"/>
      <w:r w:rsidR="00E0553B">
        <w:rPr>
          <w:lang w:val="en-AU"/>
        </w:rPr>
        <w:t>ComBio</w:t>
      </w:r>
      <w:proofErr w:type="spellEnd"/>
      <w:r w:rsidR="00E0553B">
        <w:rPr>
          <w:lang w:val="en-AU"/>
        </w:rPr>
        <w:t xml:space="preserve"> 2017 profits were </w:t>
      </w:r>
      <w:r w:rsidR="00B80CC8">
        <w:rPr>
          <w:lang w:val="en-AU"/>
        </w:rPr>
        <w:t>received</w:t>
      </w:r>
      <w:r w:rsidR="00E0553B">
        <w:rPr>
          <w:lang w:val="en-AU"/>
        </w:rPr>
        <w:t xml:space="preserve"> after 1 May 2018, these will appear in the 2018-2019 financial statement. </w:t>
      </w:r>
    </w:p>
    <w:p w14:paraId="1CD1363E" w14:textId="2406FD2B" w:rsidR="00052823" w:rsidRPr="00684359" w:rsidRDefault="00FB27B3" w:rsidP="002C132D">
      <w:pPr>
        <w:spacing w:after="120"/>
        <w:ind w:left="142"/>
        <w:rPr>
          <w:lang w:val="en-AU"/>
        </w:rPr>
      </w:pPr>
      <w:r>
        <w:rPr>
          <w:lang w:val="en-AU"/>
        </w:rPr>
        <w:t xml:space="preserve">We received </w:t>
      </w:r>
      <w:r w:rsidR="003C310B">
        <w:rPr>
          <w:lang w:val="en-AU"/>
        </w:rPr>
        <w:t>$</w:t>
      </w:r>
      <w:r w:rsidR="00E0553B" w:rsidRPr="00E0553B">
        <w:rPr>
          <w:lang w:val="en-AU"/>
        </w:rPr>
        <w:t>17</w:t>
      </w:r>
      <w:r w:rsidR="00E0553B">
        <w:rPr>
          <w:lang w:val="en-AU"/>
        </w:rPr>
        <w:t>,</w:t>
      </w:r>
      <w:r w:rsidR="00D215BD">
        <w:rPr>
          <w:lang w:val="en-AU"/>
        </w:rPr>
        <w:t>55</w:t>
      </w:r>
      <w:r w:rsidR="00E0553B" w:rsidRPr="00E0553B">
        <w:rPr>
          <w:lang w:val="en-AU"/>
        </w:rPr>
        <w:t>1</w:t>
      </w:r>
      <w:r w:rsidR="00E0553B">
        <w:rPr>
          <w:lang w:val="en-AU"/>
        </w:rPr>
        <w:t>.00</w:t>
      </w:r>
      <w:r w:rsidR="00994E48" w:rsidRPr="00994E48">
        <w:rPr>
          <w:lang w:val="en-AU"/>
        </w:rPr>
        <w:t xml:space="preserve"> in membership su</w:t>
      </w:r>
      <w:r w:rsidR="00130E90">
        <w:rPr>
          <w:lang w:val="en-AU"/>
        </w:rPr>
        <w:t>bscriptions and renewals</w:t>
      </w:r>
      <w:r w:rsidR="00994E48" w:rsidRPr="00A76832">
        <w:rPr>
          <w:lang w:val="en-AU"/>
        </w:rPr>
        <w:t xml:space="preserve">. The number of paid/updated </w:t>
      </w:r>
      <w:r w:rsidR="00BA10C7" w:rsidRPr="00A76832">
        <w:rPr>
          <w:lang w:val="en-AU"/>
        </w:rPr>
        <w:t xml:space="preserve">ASPS members as of </w:t>
      </w:r>
      <w:r w:rsidR="00B25EB3">
        <w:rPr>
          <w:lang w:val="en-AU"/>
        </w:rPr>
        <w:t>23 May, 2018</w:t>
      </w:r>
      <w:r w:rsidR="003C310B" w:rsidRPr="00A76832">
        <w:rPr>
          <w:lang w:val="en-AU"/>
        </w:rPr>
        <w:t xml:space="preserve"> </w:t>
      </w:r>
      <w:r w:rsidR="00920F36">
        <w:rPr>
          <w:lang w:val="en-AU"/>
        </w:rPr>
        <w:t>was</w:t>
      </w:r>
      <w:r w:rsidR="003C310B" w:rsidRPr="00A76832">
        <w:rPr>
          <w:lang w:val="en-AU"/>
        </w:rPr>
        <w:t xml:space="preserve"> </w:t>
      </w:r>
      <w:r w:rsidR="00B25EB3">
        <w:rPr>
          <w:lang w:val="en-AU"/>
        </w:rPr>
        <w:t>385</w:t>
      </w:r>
      <w:r w:rsidR="00994E48" w:rsidRPr="00A76832">
        <w:rPr>
          <w:lang w:val="en-AU"/>
        </w:rPr>
        <w:t xml:space="preserve"> consisting of </w:t>
      </w:r>
      <w:r w:rsidR="00B25EB3">
        <w:rPr>
          <w:lang w:val="en-AU"/>
        </w:rPr>
        <w:t>132</w:t>
      </w:r>
      <w:r w:rsidR="00994E48" w:rsidRPr="00A76832">
        <w:rPr>
          <w:lang w:val="en-AU"/>
        </w:rPr>
        <w:t xml:space="preserve"> ordinary members, </w:t>
      </w:r>
      <w:r w:rsidR="00B25EB3">
        <w:rPr>
          <w:lang w:val="en-AU"/>
        </w:rPr>
        <w:t>201</w:t>
      </w:r>
      <w:r w:rsidR="00994E48" w:rsidRPr="00A76832">
        <w:rPr>
          <w:lang w:val="en-AU"/>
        </w:rPr>
        <w:t xml:space="preserve"> student members, </w:t>
      </w:r>
      <w:r w:rsidR="00A76832" w:rsidRPr="00A76832">
        <w:rPr>
          <w:lang w:val="en-AU"/>
        </w:rPr>
        <w:t>31</w:t>
      </w:r>
      <w:r w:rsidR="00994E48" w:rsidRPr="00A76832">
        <w:rPr>
          <w:lang w:val="en-AU"/>
        </w:rPr>
        <w:t xml:space="preserve"> retired members,</w:t>
      </w:r>
      <w:r w:rsidR="001E4A1C" w:rsidRPr="00A76832">
        <w:rPr>
          <w:lang w:val="en-AU"/>
        </w:rPr>
        <w:t xml:space="preserve"> </w:t>
      </w:r>
      <w:r w:rsidR="00B25EB3">
        <w:rPr>
          <w:lang w:val="en-AU"/>
        </w:rPr>
        <w:t>13</w:t>
      </w:r>
      <w:r w:rsidR="00A76832" w:rsidRPr="00A76832">
        <w:rPr>
          <w:lang w:val="en-AU"/>
        </w:rPr>
        <w:t xml:space="preserve"> corresponding members and</w:t>
      </w:r>
      <w:r w:rsidR="00994E48" w:rsidRPr="00A76832">
        <w:rPr>
          <w:lang w:val="en-AU"/>
        </w:rPr>
        <w:t xml:space="preserve"> 6 life members (</w:t>
      </w:r>
      <w:r w:rsidR="00A76832" w:rsidRPr="00A76832">
        <w:rPr>
          <w:lang w:val="en-AU"/>
        </w:rPr>
        <w:t>see below</w:t>
      </w:r>
      <w:r w:rsidR="000D1BB4">
        <w:rPr>
          <w:lang w:val="en-AU"/>
        </w:rPr>
        <w:t>).</w:t>
      </w:r>
      <w:r w:rsidR="00FF095D">
        <w:rPr>
          <w:lang w:val="en-AU"/>
        </w:rPr>
        <w:t xml:space="preserve"> The two gratis members are the American Society of Plant Biology and the New Zealand </w:t>
      </w:r>
      <w:r w:rsidR="008B0652">
        <w:rPr>
          <w:lang w:val="en-AU"/>
        </w:rPr>
        <w:t>Society of Plant Biologists.</w:t>
      </w:r>
      <w:r w:rsidR="00A75E7C">
        <w:rPr>
          <w:lang w:val="en-AU"/>
        </w:rPr>
        <w:t xml:space="preserve"> We currently have no </w:t>
      </w:r>
      <w:r w:rsidR="00A75E7C" w:rsidRPr="00A76832">
        <w:rPr>
          <w:lang w:val="en-AU"/>
        </w:rPr>
        <w:t>sustaining members.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651"/>
        <w:gridCol w:w="806"/>
        <w:gridCol w:w="806"/>
        <w:gridCol w:w="706"/>
        <w:gridCol w:w="706"/>
        <w:gridCol w:w="706"/>
        <w:gridCol w:w="706"/>
        <w:gridCol w:w="707"/>
        <w:gridCol w:w="707"/>
        <w:gridCol w:w="707"/>
        <w:gridCol w:w="707"/>
        <w:gridCol w:w="707"/>
      </w:tblGrid>
      <w:tr w:rsidR="00CB5B38" w:rsidRPr="00A76832" w14:paraId="2BD7280E" w14:textId="77777777" w:rsidTr="00684359">
        <w:trPr>
          <w:trHeight w:val="454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3A48803E" w14:textId="14563045" w:rsidR="00CB5B38" w:rsidRPr="00A76832" w:rsidRDefault="00CB5B38" w:rsidP="00994E48">
            <w:pPr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Category</w:t>
            </w:r>
          </w:p>
        </w:tc>
        <w:tc>
          <w:tcPr>
            <w:tcW w:w="806" w:type="dxa"/>
            <w:vAlign w:val="center"/>
          </w:tcPr>
          <w:p w14:paraId="18633C66" w14:textId="3A3AFFEC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17/18</w:t>
            </w:r>
          </w:p>
        </w:tc>
        <w:tc>
          <w:tcPr>
            <w:tcW w:w="806" w:type="dxa"/>
            <w:vAlign w:val="center"/>
          </w:tcPr>
          <w:p w14:paraId="486286E9" w14:textId="0F32513D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16/17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0A6CA544" w14:textId="5D6DDA54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15/16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050CD3E9" w14:textId="5EFBA237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14/15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582A3995" w14:textId="768AF796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13/14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66EFDBD9" w14:textId="4C492D01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12/13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1AD2020E" w14:textId="2E504E6A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11/12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05A58DFC" w14:textId="59DD042F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10/11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3B44A72F" w14:textId="0EF66A73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09/10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53CE771C" w14:textId="1E5E7C6B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08/09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32BC607D" w14:textId="29D7E904" w:rsidR="00CB5B38" w:rsidRPr="00A76832" w:rsidRDefault="00CB5B38" w:rsidP="00FB27B3">
            <w:pPr>
              <w:jc w:val="center"/>
              <w:rPr>
                <w:b/>
                <w:lang w:val="en-AU"/>
              </w:rPr>
            </w:pPr>
            <w:r w:rsidRPr="00A76832">
              <w:rPr>
                <w:b/>
                <w:lang w:val="en-AU"/>
              </w:rPr>
              <w:t>07/08</w:t>
            </w:r>
          </w:p>
        </w:tc>
      </w:tr>
      <w:tr w:rsidR="00CB5B38" w:rsidRPr="00A76832" w14:paraId="5E370BC7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78287BAC" w14:textId="49868B1A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Ordinary</w:t>
            </w:r>
          </w:p>
        </w:tc>
        <w:tc>
          <w:tcPr>
            <w:tcW w:w="806" w:type="dxa"/>
          </w:tcPr>
          <w:p w14:paraId="47CD47E2" w14:textId="1AD0FA71" w:rsidR="00CB5B38" w:rsidRPr="00A76832" w:rsidRDefault="005207C4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132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1D931F77" w14:textId="3210C11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127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441D667A" w14:textId="591861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237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6F12CDD" w14:textId="654B5AC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107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D52EC41" w14:textId="16E74570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101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13E6EE0" w14:textId="415FA0C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153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3306B7A" w14:textId="0CA8740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212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53981AEF" w14:textId="3578C435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244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D4E2715" w14:textId="750BE28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238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A3E0575" w14:textId="63FEDEA9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283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8640F28" w14:textId="43B0F673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209</w:t>
            </w:r>
          </w:p>
        </w:tc>
      </w:tr>
      <w:tr w:rsidR="00CB5B38" w:rsidRPr="00A76832" w14:paraId="57D41A75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00CBAA63" w14:textId="1A2633BB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Student</w:t>
            </w:r>
          </w:p>
        </w:tc>
        <w:tc>
          <w:tcPr>
            <w:tcW w:w="806" w:type="dxa"/>
          </w:tcPr>
          <w:p w14:paraId="4EC0622F" w14:textId="5E248802" w:rsidR="00CB5B38" w:rsidRPr="00A76832" w:rsidRDefault="005207C4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201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762EA0E7" w14:textId="294B747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224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205455C8" w14:textId="582F2658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292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E6BADE0" w14:textId="46377B26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345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63FA5602" w14:textId="597C2DF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229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5C274FA" w14:textId="0BFCD379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210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00E6406" w14:textId="7D4981E6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192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232025C7" w14:textId="0809568F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164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235616D7" w14:textId="694A651E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151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8B6FDE3" w14:textId="66162070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176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5F36C7C0" w14:textId="79E76225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151</w:t>
            </w:r>
          </w:p>
        </w:tc>
      </w:tr>
      <w:tr w:rsidR="00CB5B38" w:rsidRPr="00A76832" w14:paraId="4AC13C54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7F07F156" w14:textId="3061CCD9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Retired</w:t>
            </w:r>
          </w:p>
        </w:tc>
        <w:tc>
          <w:tcPr>
            <w:tcW w:w="806" w:type="dxa"/>
          </w:tcPr>
          <w:p w14:paraId="5F0D9B2C" w14:textId="5E78D49F" w:rsidR="00CB5B38" w:rsidRPr="00A76832" w:rsidRDefault="00B25EB3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241D368B" w14:textId="45837433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31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6EC27397" w14:textId="39EF9081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35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4D951BB" w14:textId="7CBC35C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36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0213FBD" w14:textId="5B68F5A1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28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6696F01A" w14:textId="64A3FA93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14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4786095C" w14:textId="01D0D87C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14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7C21E82F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BD54424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7FA3F6A9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503AAC93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</w:tr>
      <w:tr w:rsidR="00CB5B38" w:rsidRPr="00A76832" w14:paraId="537FD611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72343E26" w14:textId="469B3E03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Corresponding</w:t>
            </w:r>
          </w:p>
        </w:tc>
        <w:tc>
          <w:tcPr>
            <w:tcW w:w="806" w:type="dxa"/>
          </w:tcPr>
          <w:p w14:paraId="2822B92D" w14:textId="174C201E" w:rsidR="00CB5B38" w:rsidRPr="00A76832" w:rsidRDefault="00B25EB3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2AD21E1B" w14:textId="2806CE3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9413DA0" w14:textId="08A6FEF6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6E60CDA" w14:textId="675EDDC2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6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287C5FD" w14:textId="3D6E4CFE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DC336A1" w14:textId="4B8C8D3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10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5138F69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A718F94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19DF1D7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13538D1D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7595A5F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</w:tr>
      <w:tr w:rsidR="00CB5B38" w:rsidRPr="00A76832" w14:paraId="1D9111E7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6A443672" w14:textId="4CA6D1F4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Life</w:t>
            </w:r>
          </w:p>
        </w:tc>
        <w:tc>
          <w:tcPr>
            <w:tcW w:w="806" w:type="dxa"/>
          </w:tcPr>
          <w:p w14:paraId="0538EC05" w14:textId="1B464197" w:rsidR="00CB5B38" w:rsidRPr="00A76832" w:rsidRDefault="00B25EB3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1315F49A" w14:textId="5726C3F8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6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5E99F4F" w14:textId="6DE73180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6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7E91891D" w14:textId="0F4D106D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7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046218F" w14:textId="1A7BD39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7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0D8246E4" w14:textId="1B71A904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7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59E6476F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724F4669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64D2939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9334BF2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7FF54D64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</w:tr>
      <w:tr w:rsidR="00CB5B38" w:rsidRPr="00A76832" w14:paraId="0B867B8E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616879AC" w14:textId="36D167D1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Gratis</w:t>
            </w:r>
          </w:p>
        </w:tc>
        <w:tc>
          <w:tcPr>
            <w:tcW w:w="806" w:type="dxa"/>
          </w:tcPr>
          <w:p w14:paraId="23223499" w14:textId="2C640E47" w:rsidR="00CB5B38" w:rsidRPr="00A76832" w:rsidRDefault="00B25EB3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0401202B" w14:textId="73C33702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0010AE04" w14:textId="441D089F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AF08840" w14:textId="7A15722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8A7CCF4" w14:textId="23C9C25A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1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786E7B9D" w14:textId="0E31AB60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4189211C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44C7F860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46906679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2CB80381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2A6B33A5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</w:tr>
      <w:tr w:rsidR="00CB5B38" w:rsidRPr="00A76832" w14:paraId="31C81C52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413EB740" w14:textId="1A887F2A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Sustaining</w:t>
            </w:r>
          </w:p>
        </w:tc>
        <w:tc>
          <w:tcPr>
            <w:tcW w:w="806" w:type="dxa"/>
          </w:tcPr>
          <w:p w14:paraId="6877E4D2" w14:textId="5C81BAAA" w:rsidR="00CB5B38" w:rsidRPr="00A76832" w:rsidRDefault="00B25EB3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2330144E" w14:textId="7248A892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E08E2BA" w14:textId="4C00194C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55EEB031" w14:textId="5CB043AB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40EA319A" w14:textId="7120F1B3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0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737DA6B3" w14:textId="17E5668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2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671255A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2DB2BF25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3D5BB2ED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1EC08B1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57161291" w14:textId="7777777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</w:p>
        </w:tc>
      </w:tr>
      <w:tr w:rsidR="00CB5B38" w:rsidRPr="00A76832" w14:paraId="03A96361" w14:textId="77777777" w:rsidTr="00684359">
        <w:trPr>
          <w:trHeight w:val="340"/>
        </w:trPr>
        <w:tc>
          <w:tcPr>
            <w:tcW w:w="1651" w:type="dxa"/>
            <w:shd w:val="clear" w:color="auto" w:fill="F2F2F2" w:themeFill="background1" w:themeFillShade="F2"/>
          </w:tcPr>
          <w:p w14:paraId="6AC2B644" w14:textId="21F95535" w:rsidR="00CB5B38" w:rsidRPr="00A76832" w:rsidRDefault="00CB5B38" w:rsidP="00994E48">
            <w:pPr>
              <w:rPr>
                <w:lang w:val="en-AU"/>
              </w:rPr>
            </w:pPr>
            <w:r w:rsidRPr="00A76832">
              <w:rPr>
                <w:lang w:val="en-AU"/>
              </w:rPr>
              <w:t>Total</w:t>
            </w:r>
          </w:p>
        </w:tc>
        <w:tc>
          <w:tcPr>
            <w:tcW w:w="806" w:type="dxa"/>
          </w:tcPr>
          <w:p w14:paraId="38C0098C" w14:textId="04FF7EC6" w:rsidR="00CB5B38" w:rsidRPr="00A76832" w:rsidRDefault="00281035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>
              <w:rPr>
                <w:lang w:val="en-AU"/>
              </w:rPr>
              <w:t>385</w:t>
            </w:r>
          </w:p>
        </w:tc>
        <w:tc>
          <w:tcPr>
            <w:tcW w:w="806" w:type="dxa"/>
            <w:tcMar>
              <w:left w:w="28" w:type="dxa"/>
              <w:right w:w="85" w:type="dxa"/>
            </w:tcMar>
          </w:tcPr>
          <w:p w14:paraId="64F8F76B" w14:textId="7240BDD8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402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4AD73D72" w14:textId="0CF4781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582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3E5D2A16" w14:textId="2C9AE305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502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17246882" w14:textId="4D041167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316</w:t>
            </w:r>
          </w:p>
        </w:tc>
        <w:tc>
          <w:tcPr>
            <w:tcW w:w="706" w:type="dxa"/>
            <w:tcMar>
              <w:left w:w="28" w:type="dxa"/>
              <w:right w:w="85" w:type="dxa"/>
            </w:tcMar>
          </w:tcPr>
          <w:p w14:paraId="6ACA06E2" w14:textId="301C8D69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318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3770D20" w14:textId="5269CBB0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418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693F7CBC" w14:textId="3FB7F0E9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408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43A118A8" w14:textId="0EA1E98C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389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163BAF23" w14:textId="74895D99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459</w:t>
            </w:r>
          </w:p>
        </w:tc>
        <w:tc>
          <w:tcPr>
            <w:tcW w:w="707" w:type="dxa"/>
            <w:tcMar>
              <w:left w:w="28" w:type="dxa"/>
              <w:right w:w="85" w:type="dxa"/>
            </w:tcMar>
          </w:tcPr>
          <w:p w14:paraId="0ABA9DD8" w14:textId="54D8AA32" w:rsidR="00CB5B38" w:rsidRPr="00A76832" w:rsidRDefault="00CB5B38" w:rsidP="00FB27B3">
            <w:pPr>
              <w:adjustRightInd w:val="0"/>
              <w:ind w:right="113"/>
              <w:jc w:val="right"/>
              <w:rPr>
                <w:lang w:val="en-AU"/>
              </w:rPr>
            </w:pPr>
            <w:r w:rsidRPr="00A76832">
              <w:rPr>
                <w:lang w:val="en-AU"/>
              </w:rPr>
              <w:t>360</w:t>
            </w:r>
          </w:p>
        </w:tc>
      </w:tr>
    </w:tbl>
    <w:p w14:paraId="4299A443" w14:textId="27D3B87F" w:rsidR="00994E48" w:rsidRPr="00A76832" w:rsidRDefault="00994E48" w:rsidP="00BE5647">
      <w:pPr>
        <w:spacing w:before="120" w:after="120"/>
        <w:ind w:left="142"/>
        <w:rPr>
          <w:lang w:val="en-AU"/>
        </w:rPr>
      </w:pPr>
      <w:r w:rsidRPr="00A76832">
        <w:rPr>
          <w:lang w:val="en-AU"/>
        </w:rPr>
        <w:t>The current membership fees are ordinary member: 1 year $100.00; 2 years $180.00; 4 years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$340.00</w:t>
      </w:r>
      <w:r w:rsidR="00A75E7C">
        <w:rPr>
          <w:lang w:val="en-AU"/>
        </w:rPr>
        <w:t>;</w:t>
      </w:r>
      <w:r w:rsidRPr="00A76832">
        <w:rPr>
          <w:lang w:val="en-AU"/>
        </w:rPr>
        <w:t xml:space="preserve"> student member: 2 years $50.00</w:t>
      </w:r>
      <w:r w:rsidR="00A75E7C">
        <w:rPr>
          <w:lang w:val="en-AU"/>
        </w:rPr>
        <w:t>; sustaining member $300.00</w:t>
      </w:r>
      <w:r w:rsidRPr="00A76832">
        <w:rPr>
          <w:lang w:val="en-AU"/>
        </w:rPr>
        <w:t>.</w:t>
      </w:r>
    </w:p>
    <w:p w14:paraId="7FA0118A" w14:textId="77777777" w:rsidR="00A75E7C" w:rsidRDefault="00A75E7C">
      <w:pPr>
        <w:rPr>
          <w:lang w:val="en-AU"/>
        </w:rPr>
      </w:pPr>
      <w:r>
        <w:rPr>
          <w:lang w:val="en-AU"/>
        </w:rPr>
        <w:br w:type="page"/>
      </w:r>
    </w:p>
    <w:p w14:paraId="151C48AA" w14:textId="3B2B1A63" w:rsidR="00994E48" w:rsidRPr="00A76832" w:rsidRDefault="00B86A53" w:rsidP="00A93910">
      <w:pPr>
        <w:spacing w:before="120" w:after="120"/>
        <w:rPr>
          <w:b/>
          <w:lang w:val="en-AU"/>
        </w:rPr>
      </w:pPr>
      <w:r w:rsidRPr="00A76832">
        <w:rPr>
          <w:b/>
          <w:lang w:val="en-AU"/>
        </w:rPr>
        <w:lastRenderedPageBreak/>
        <w:t>EXPENDITURE</w:t>
      </w:r>
    </w:p>
    <w:p w14:paraId="791C5C6C" w14:textId="2E7B87B3" w:rsidR="00994E48" w:rsidRPr="00A76832" w:rsidRDefault="000D1BB4" w:rsidP="002C132D">
      <w:pPr>
        <w:spacing w:after="120"/>
        <w:ind w:left="142"/>
        <w:rPr>
          <w:b/>
          <w:i/>
          <w:lang w:val="en-AU"/>
        </w:rPr>
      </w:pPr>
      <w:proofErr w:type="spellStart"/>
      <w:r>
        <w:rPr>
          <w:b/>
          <w:i/>
          <w:lang w:val="en-AU"/>
        </w:rPr>
        <w:t>ComBio</w:t>
      </w:r>
      <w:proofErr w:type="spellEnd"/>
      <w:r>
        <w:rPr>
          <w:b/>
          <w:i/>
          <w:lang w:val="en-AU"/>
        </w:rPr>
        <w:t xml:space="preserve"> 2017</w:t>
      </w:r>
    </w:p>
    <w:p w14:paraId="7ED6AE29" w14:textId="0E57A4AF" w:rsidR="00994E48" w:rsidRPr="00A76832" w:rsidRDefault="00994E48" w:rsidP="002C132D">
      <w:pPr>
        <w:spacing w:after="120"/>
        <w:ind w:left="284"/>
        <w:rPr>
          <w:lang w:val="en-AU"/>
        </w:rPr>
      </w:pPr>
      <w:r w:rsidRPr="00A76832">
        <w:rPr>
          <w:lang w:val="en-AU"/>
        </w:rPr>
        <w:t xml:space="preserve">The society is a strong supporter of the annual </w:t>
      </w:r>
      <w:proofErr w:type="spellStart"/>
      <w:r w:rsidRPr="00A76832">
        <w:rPr>
          <w:lang w:val="en-AU"/>
        </w:rPr>
        <w:t>ComBio</w:t>
      </w:r>
      <w:proofErr w:type="spellEnd"/>
      <w:r w:rsidRPr="00A76832">
        <w:rPr>
          <w:lang w:val="en-AU"/>
        </w:rPr>
        <w:t xml:space="preserve"> conference as a way to showcase the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multidisciplinary aspects of Australian Plant Science and as an important gathering place to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 xml:space="preserve">meet colleagues and to develop research collaborations. </w:t>
      </w:r>
      <w:proofErr w:type="spellStart"/>
      <w:r w:rsidRPr="00A76832">
        <w:rPr>
          <w:lang w:val="en-AU"/>
        </w:rPr>
        <w:t>ComBio</w:t>
      </w:r>
      <w:proofErr w:type="spellEnd"/>
      <w:r w:rsidRPr="00A76832">
        <w:rPr>
          <w:lang w:val="en-AU"/>
        </w:rPr>
        <w:t xml:space="preserve"> also allows for the society to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attract high-impact plant science researchers to Australia as plenary speakers and mentors to our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student a</w:t>
      </w:r>
      <w:r w:rsidR="000D1BB4">
        <w:rPr>
          <w:lang w:val="en-AU"/>
        </w:rPr>
        <w:t>nd early career members. In 2017/2018</w:t>
      </w:r>
      <w:r w:rsidRPr="00A76832">
        <w:rPr>
          <w:lang w:val="en-AU"/>
        </w:rPr>
        <w:t>, ASPS provid</w:t>
      </w:r>
      <w:r w:rsidR="00BA10C7" w:rsidRPr="00A76832">
        <w:rPr>
          <w:lang w:val="en-AU"/>
        </w:rPr>
        <w:t>ed $1,</w:t>
      </w:r>
      <w:r w:rsidR="000D1BB4">
        <w:rPr>
          <w:lang w:val="en-AU"/>
        </w:rPr>
        <w:t xml:space="preserve">360.00 for </w:t>
      </w:r>
      <w:proofErr w:type="spellStart"/>
      <w:r w:rsidR="000D1BB4">
        <w:rPr>
          <w:lang w:val="en-AU"/>
        </w:rPr>
        <w:t>ComBio</w:t>
      </w:r>
      <w:proofErr w:type="spellEnd"/>
      <w:r w:rsidR="000D1BB4">
        <w:rPr>
          <w:lang w:val="en-AU"/>
        </w:rPr>
        <w:t xml:space="preserve"> 2017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(</w:t>
      </w:r>
      <w:r w:rsidR="000D1BB4">
        <w:rPr>
          <w:lang w:val="en-AU"/>
        </w:rPr>
        <w:t>Adelaide</w:t>
      </w:r>
      <w:r w:rsidRPr="00A76832">
        <w:rPr>
          <w:lang w:val="en-AU"/>
        </w:rPr>
        <w:t xml:space="preserve">) speaker </w:t>
      </w:r>
      <w:r w:rsidR="00711084">
        <w:rPr>
          <w:lang w:val="en-AU"/>
        </w:rPr>
        <w:t>registration</w:t>
      </w:r>
      <w:r w:rsidRPr="00A76832">
        <w:rPr>
          <w:lang w:val="en-AU"/>
        </w:rPr>
        <w:t xml:space="preserve"> expenses.</w:t>
      </w:r>
    </w:p>
    <w:p w14:paraId="423EF450" w14:textId="27FDAB38" w:rsidR="00841B6C" w:rsidRDefault="00994E48" w:rsidP="002C132D">
      <w:pPr>
        <w:spacing w:after="120"/>
        <w:ind w:left="284"/>
        <w:rPr>
          <w:lang w:val="en-AU"/>
        </w:rPr>
      </w:pPr>
      <w:r w:rsidRPr="00A76832">
        <w:rPr>
          <w:lang w:val="en-AU"/>
        </w:rPr>
        <w:t>The Society recognises the importance of student participation for its long-term wellbeing.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Student membership is encouraged through special awards including the RN Robertson Fund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and through subsidising a considerable part of their travel, accommodation, registration costs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and the annual ASPS dinner when attending a</w:t>
      </w:r>
      <w:r w:rsidR="000D1BB4">
        <w:rPr>
          <w:lang w:val="en-AU"/>
        </w:rPr>
        <w:t xml:space="preserve">nd presenting at </w:t>
      </w:r>
      <w:proofErr w:type="spellStart"/>
      <w:r w:rsidR="000D1BB4">
        <w:rPr>
          <w:lang w:val="en-AU"/>
        </w:rPr>
        <w:t>ComBio</w:t>
      </w:r>
      <w:proofErr w:type="spellEnd"/>
      <w:r w:rsidR="000D1BB4">
        <w:rPr>
          <w:lang w:val="en-AU"/>
        </w:rPr>
        <w:t>. In 2017/2018</w:t>
      </w:r>
      <w:r w:rsidR="00841B6C" w:rsidRPr="00A76832">
        <w:rPr>
          <w:lang w:val="en-AU"/>
        </w:rPr>
        <w:t xml:space="preserve">, </w:t>
      </w:r>
      <w:r w:rsidR="00711084">
        <w:rPr>
          <w:lang w:val="en-AU"/>
        </w:rPr>
        <w:t>10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>students received support fr</w:t>
      </w:r>
      <w:r w:rsidR="000D1BB4">
        <w:rPr>
          <w:lang w:val="en-AU"/>
        </w:rPr>
        <w:t>om ASPS to attend the ComBio2017</w:t>
      </w:r>
      <w:r w:rsidRPr="00A76832">
        <w:rPr>
          <w:lang w:val="en-AU"/>
        </w:rPr>
        <w:t xml:space="preserve"> meeting in </w:t>
      </w:r>
      <w:r w:rsidR="00D541A8">
        <w:rPr>
          <w:lang w:val="en-AU"/>
        </w:rPr>
        <w:t>Adelaide</w:t>
      </w:r>
      <w:r w:rsidRPr="00A76832">
        <w:rPr>
          <w:lang w:val="en-AU"/>
        </w:rPr>
        <w:t xml:space="preserve"> at a</w:t>
      </w:r>
      <w:r w:rsidR="001E4A1C" w:rsidRPr="00A76832">
        <w:rPr>
          <w:lang w:val="en-AU"/>
        </w:rPr>
        <w:t xml:space="preserve"> </w:t>
      </w:r>
      <w:r w:rsidR="00711084">
        <w:rPr>
          <w:lang w:val="en-AU"/>
        </w:rPr>
        <w:t>cost of $5,851.00 ($250-$800</w:t>
      </w:r>
      <w:r w:rsidRPr="00A76832">
        <w:rPr>
          <w:lang w:val="en-AU"/>
        </w:rPr>
        <w:t xml:space="preserve"> per student) to the society. Furthermore, ASPS rewards active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 xml:space="preserve">participation by students in the </w:t>
      </w:r>
      <w:proofErr w:type="spellStart"/>
      <w:r w:rsidRPr="00A76832">
        <w:rPr>
          <w:lang w:val="en-AU"/>
        </w:rPr>
        <w:t>ComBio</w:t>
      </w:r>
      <w:proofErr w:type="spellEnd"/>
      <w:r w:rsidRPr="00A76832">
        <w:rPr>
          <w:lang w:val="en-AU"/>
        </w:rPr>
        <w:t xml:space="preserve"> program by recognising outstanding posters with</w:t>
      </w:r>
      <w:r w:rsidR="001E4A1C" w:rsidRPr="00A76832">
        <w:rPr>
          <w:lang w:val="en-AU"/>
        </w:rPr>
        <w:t xml:space="preserve"> </w:t>
      </w:r>
      <w:r w:rsidRPr="00A76832">
        <w:rPr>
          <w:lang w:val="en-AU"/>
        </w:rPr>
        <w:t xml:space="preserve">monetary prizes. Last year we provided </w:t>
      </w:r>
      <w:r w:rsidR="000D1BB4">
        <w:rPr>
          <w:lang w:val="en-AU"/>
        </w:rPr>
        <w:t>three</w:t>
      </w:r>
      <w:r w:rsidR="005B5415" w:rsidRPr="00A76832">
        <w:rPr>
          <w:lang w:val="en-AU"/>
        </w:rPr>
        <w:t xml:space="preserve"> </w:t>
      </w:r>
      <w:r w:rsidR="004A588D" w:rsidRPr="00A76832">
        <w:rPr>
          <w:lang w:val="en-AU"/>
        </w:rPr>
        <w:t xml:space="preserve">student </w:t>
      </w:r>
      <w:r w:rsidRPr="00A76832">
        <w:rPr>
          <w:lang w:val="en-AU"/>
        </w:rPr>
        <w:t xml:space="preserve">poster prizes at </w:t>
      </w:r>
      <w:proofErr w:type="spellStart"/>
      <w:r w:rsidRPr="00A76832">
        <w:rPr>
          <w:lang w:val="en-AU"/>
        </w:rPr>
        <w:t>ComBio</w:t>
      </w:r>
      <w:proofErr w:type="spellEnd"/>
      <w:r w:rsidRPr="00A76832">
        <w:rPr>
          <w:lang w:val="en-AU"/>
        </w:rPr>
        <w:t xml:space="preserve"> 2</w:t>
      </w:r>
      <w:r w:rsidR="000D1BB4">
        <w:rPr>
          <w:lang w:val="en-AU"/>
        </w:rPr>
        <w:t>017</w:t>
      </w:r>
      <w:r w:rsidR="00D541A8">
        <w:rPr>
          <w:lang w:val="en-AU"/>
        </w:rPr>
        <w:t xml:space="preserve"> (</w:t>
      </w:r>
      <w:r w:rsidR="00A75E7C">
        <w:rPr>
          <w:lang w:val="en-AU"/>
        </w:rPr>
        <w:t xml:space="preserve">$250 each; </w:t>
      </w:r>
      <w:r w:rsidR="00D541A8">
        <w:rPr>
          <w:lang w:val="en-AU"/>
        </w:rPr>
        <w:t>$75</w:t>
      </w:r>
      <w:r w:rsidRPr="00A76832">
        <w:rPr>
          <w:lang w:val="en-AU"/>
        </w:rPr>
        <w:t>0 in total).</w:t>
      </w:r>
      <w:r w:rsidR="001E4A1C">
        <w:rPr>
          <w:lang w:val="en-AU"/>
        </w:rPr>
        <w:t xml:space="preserve"> </w:t>
      </w:r>
    </w:p>
    <w:p w14:paraId="52D23CE1" w14:textId="042F8133" w:rsidR="00994E48" w:rsidRPr="004A289A" w:rsidRDefault="00994E48" w:rsidP="00841B6C">
      <w:pPr>
        <w:spacing w:after="120"/>
        <w:ind w:left="142"/>
        <w:rPr>
          <w:b/>
          <w:i/>
          <w:lang w:val="en-AU"/>
        </w:rPr>
      </w:pPr>
      <w:r w:rsidRPr="004A289A">
        <w:rPr>
          <w:b/>
          <w:i/>
          <w:lang w:val="en-AU"/>
        </w:rPr>
        <w:t>Research and Conference Travel Support</w:t>
      </w:r>
    </w:p>
    <w:p w14:paraId="116D2AA1" w14:textId="6D58C45C" w:rsidR="00994E48" w:rsidRDefault="00994E48" w:rsidP="00841B6C">
      <w:pPr>
        <w:spacing w:after="120"/>
        <w:ind w:left="284"/>
        <w:rPr>
          <w:lang w:val="en-AU"/>
        </w:rPr>
      </w:pPr>
      <w:r w:rsidRPr="00994E48">
        <w:rPr>
          <w:lang w:val="en-AU"/>
        </w:rPr>
        <w:t>The</w:t>
      </w:r>
      <w:r w:rsidR="004A588D">
        <w:rPr>
          <w:lang w:val="en-AU"/>
        </w:rPr>
        <w:t xml:space="preserve"> R.N. Robertson Travel Award</w:t>
      </w:r>
      <w:r w:rsidR="00393BF7">
        <w:rPr>
          <w:lang w:val="en-AU"/>
        </w:rPr>
        <w:t xml:space="preserve"> ($</w:t>
      </w:r>
      <w:r w:rsidR="00462861">
        <w:rPr>
          <w:lang w:val="en-AU"/>
        </w:rPr>
        <w:t>4,000</w:t>
      </w:r>
      <w:r w:rsidRPr="00994E48">
        <w:rPr>
          <w:lang w:val="en-AU"/>
        </w:rPr>
        <w:t xml:space="preserve">) </w:t>
      </w:r>
      <w:r w:rsidR="00393BF7">
        <w:rPr>
          <w:lang w:val="en-AU"/>
        </w:rPr>
        <w:t xml:space="preserve">was awarded to </w:t>
      </w:r>
      <w:r w:rsidR="00462861">
        <w:rPr>
          <w:lang w:val="en-AU"/>
        </w:rPr>
        <w:t>Jesse Beasley in 2016/17</w:t>
      </w:r>
      <w:r w:rsidR="00393BF7">
        <w:rPr>
          <w:lang w:val="en-AU"/>
        </w:rPr>
        <w:t xml:space="preserve"> and</w:t>
      </w:r>
      <w:r w:rsidR="0053321D">
        <w:rPr>
          <w:lang w:val="en-AU"/>
        </w:rPr>
        <w:t xml:space="preserve"> to Jonathan Dragwidge in 2017/2018, both</w:t>
      </w:r>
      <w:r w:rsidR="00393BF7">
        <w:rPr>
          <w:lang w:val="en-AU"/>
        </w:rPr>
        <w:t xml:space="preserve"> </w:t>
      </w:r>
      <w:r w:rsidR="00393BF7" w:rsidRPr="00994E48">
        <w:rPr>
          <w:lang w:val="en-AU"/>
        </w:rPr>
        <w:t>accrued in the</w:t>
      </w:r>
      <w:r w:rsidR="00393BF7">
        <w:rPr>
          <w:lang w:val="en-AU"/>
        </w:rPr>
        <w:t xml:space="preserve"> </w:t>
      </w:r>
      <w:r w:rsidR="0053321D">
        <w:rPr>
          <w:lang w:val="en-AU"/>
        </w:rPr>
        <w:t>2017/2018</w:t>
      </w:r>
      <w:r w:rsidR="00393BF7" w:rsidRPr="00994E48">
        <w:rPr>
          <w:lang w:val="en-AU"/>
        </w:rPr>
        <w:t xml:space="preserve"> ASPS budget. </w:t>
      </w:r>
      <w:r w:rsidR="002E35C3">
        <w:rPr>
          <w:lang w:val="en-AU"/>
        </w:rPr>
        <w:t xml:space="preserve">A further </w:t>
      </w:r>
      <w:r w:rsidR="002E35C3" w:rsidRPr="002E35C3">
        <w:rPr>
          <w:lang w:val="en-AU"/>
        </w:rPr>
        <w:t>$1,723.14</w:t>
      </w:r>
      <w:r w:rsidRPr="00994E48">
        <w:rPr>
          <w:lang w:val="en-AU"/>
        </w:rPr>
        <w:t xml:space="preserve"> was used to underwrite the attendance of students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 xml:space="preserve">to the annual ASPS dinner </w:t>
      </w:r>
      <w:r w:rsidR="00D541A8">
        <w:rPr>
          <w:lang w:val="en-AU"/>
        </w:rPr>
        <w:t xml:space="preserve">during </w:t>
      </w:r>
      <w:proofErr w:type="spellStart"/>
      <w:r w:rsidR="00D541A8">
        <w:rPr>
          <w:lang w:val="en-AU"/>
        </w:rPr>
        <w:t>ComBio</w:t>
      </w:r>
      <w:proofErr w:type="spellEnd"/>
      <w:r w:rsidR="00D541A8">
        <w:rPr>
          <w:lang w:val="en-AU"/>
        </w:rPr>
        <w:t xml:space="preserve"> 2017</w:t>
      </w:r>
      <w:r w:rsidR="00393BF7">
        <w:rPr>
          <w:lang w:val="en-AU"/>
        </w:rPr>
        <w:t xml:space="preserve"> </w:t>
      </w:r>
      <w:r w:rsidRPr="00994E48">
        <w:rPr>
          <w:lang w:val="en-AU"/>
        </w:rPr>
        <w:t xml:space="preserve">in </w:t>
      </w:r>
      <w:r w:rsidR="00D541A8">
        <w:rPr>
          <w:lang w:val="en-AU"/>
        </w:rPr>
        <w:t>Adelaide</w:t>
      </w:r>
      <w:r w:rsidRPr="00994E48">
        <w:rPr>
          <w:lang w:val="en-AU"/>
        </w:rPr>
        <w:t>.</w:t>
      </w:r>
    </w:p>
    <w:p w14:paraId="114C5610" w14:textId="6DAC0A07" w:rsidR="00841B6C" w:rsidRDefault="001E4A1C" w:rsidP="00841B6C">
      <w:pPr>
        <w:spacing w:after="120"/>
        <w:ind w:left="284"/>
        <w:rPr>
          <w:lang w:val="en-AU"/>
        </w:rPr>
      </w:pPr>
      <w:r>
        <w:rPr>
          <w:lang w:val="en-AU"/>
        </w:rPr>
        <w:t>T</w:t>
      </w:r>
      <w:r w:rsidR="00393BF7">
        <w:rPr>
          <w:lang w:val="en-AU"/>
        </w:rPr>
        <w:t>he S</w:t>
      </w:r>
      <w:r w:rsidR="00994E48" w:rsidRPr="00994E48">
        <w:rPr>
          <w:lang w:val="en-AU"/>
        </w:rPr>
        <w:t>ociety helps to facilitate scientific meetings</w:t>
      </w:r>
      <w:r w:rsidR="00382A05">
        <w:rPr>
          <w:lang w:val="en-AU"/>
        </w:rPr>
        <w:t xml:space="preserve"> and community events</w:t>
      </w:r>
      <w:r w:rsidR="00994E48" w:rsidRPr="00994E48">
        <w:rPr>
          <w:lang w:val="en-AU"/>
        </w:rPr>
        <w:t xml:space="preserve"> that support Australian plant science and its</w:t>
      </w:r>
      <w:r>
        <w:rPr>
          <w:lang w:val="en-AU"/>
        </w:rPr>
        <w:t xml:space="preserve"> </w:t>
      </w:r>
      <w:r w:rsidR="000D1BB4">
        <w:rPr>
          <w:lang w:val="en-AU"/>
        </w:rPr>
        <w:t>scientists. In 2017/2018</w:t>
      </w:r>
      <w:r w:rsidR="00994E48" w:rsidRPr="00994E48">
        <w:rPr>
          <w:lang w:val="en-AU"/>
        </w:rPr>
        <w:t xml:space="preserve">, ASPS </w:t>
      </w:r>
      <w:r w:rsidR="00920F36">
        <w:rPr>
          <w:lang w:val="en-AU"/>
        </w:rPr>
        <w:t>provided $2,500 to support</w:t>
      </w:r>
      <w:r w:rsidR="00994E48" w:rsidRPr="00994E48">
        <w:rPr>
          <w:lang w:val="en-AU"/>
        </w:rPr>
        <w:t xml:space="preserve"> </w:t>
      </w:r>
      <w:r w:rsidR="00D541A8">
        <w:rPr>
          <w:lang w:val="en-AU"/>
        </w:rPr>
        <w:t>the screening in Canberra of “Food Evolution” a documentary about genetically modified food, which was tied in with a live Q&amp;A with the director</w:t>
      </w:r>
      <w:r w:rsidR="00684359">
        <w:rPr>
          <w:lang w:val="en-AU"/>
        </w:rPr>
        <w:t xml:space="preserve"> (in the USA)</w:t>
      </w:r>
      <w:r w:rsidR="00D541A8">
        <w:rPr>
          <w:lang w:val="en-AU"/>
        </w:rPr>
        <w:t xml:space="preserve"> immediately after the screening</w:t>
      </w:r>
      <w:r w:rsidR="001A5D3E">
        <w:rPr>
          <w:lang w:val="en-AU"/>
        </w:rPr>
        <w:t>.</w:t>
      </w:r>
    </w:p>
    <w:p w14:paraId="3D0E5064" w14:textId="388E6B25" w:rsidR="00994E48" w:rsidRPr="004A289A" w:rsidRDefault="00994E48" w:rsidP="00841B6C">
      <w:pPr>
        <w:spacing w:after="120"/>
        <w:ind w:left="142"/>
        <w:rPr>
          <w:b/>
          <w:i/>
          <w:lang w:val="en-AU"/>
        </w:rPr>
      </w:pPr>
      <w:r w:rsidRPr="004A289A">
        <w:rPr>
          <w:b/>
          <w:i/>
          <w:lang w:val="en-AU"/>
        </w:rPr>
        <w:t>ASPS Operating costs</w:t>
      </w:r>
    </w:p>
    <w:p w14:paraId="03058DA2" w14:textId="7C098F0C" w:rsidR="00994E48" w:rsidRPr="00994E48" w:rsidRDefault="00994E48" w:rsidP="00841B6C">
      <w:pPr>
        <w:spacing w:after="120"/>
        <w:ind w:left="284"/>
        <w:rPr>
          <w:lang w:val="en-AU"/>
        </w:rPr>
      </w:pPr>
      <w:r w:rsidRPr="00994E48">
        <w:rPr>
          <w:lang w:val="en-AU"/>
        </w:rPr>
        <w:t xml:space="preserve">The ASPS website requires continual improvement, data management and web servicing. </w:t>
      </w:r>
      <w:r w:rsidR="00711084">
        <w:rPr>
          <w:lang w:val="en-AU"/>
        </w:rPr>
        <w:t>Since the major update</w:t>
      </w:r>
      <w:r w:rsidRPr="00994E48">
        <w:rPr>
          <w:lang w:val="en-AU"/>
        </w:rPr>
        <w:t xml:space="preserve"> </w:t>
      </w:r>
      <w:r w:rsidR="001A5D3E">
        <w:rPr>
          <w:lang w:val="en-AU"/>
        </w:rPr>
        <w:t>by</w:t>
      </w:r>
      <w:r w:rsidRPr="00994E48">
        <w:rPr>
          <w:lang w:val="en-AU"/>
        </w:rPr>
        <w:t xml:space="preserve"> our </w:t>
      </w:r>
      <w:r w:rsidR="00E95E63">
        <w:rPr>
          <w:lang w:val="en-AU"/>
        </w:rPr>
        <w:t xml:space="preserve">previous </w:t>
      </w:r>
      <w:r w:rsidRPr="00994E48">
        <w:rPr>
          <w:lang w:val="en-AU"/>
        </w:rPr>
        <w:t>web-site host (Michael Major Media Pty Ltd)</w:t>
      </w:r>
      <w:r w:rsidR="00711084">
        <w:rPr>
          <w:lang w:val="en-AU"/>
        </w:rPr>
        <w:t xml:space="preserve">, hosting has been transferred to </w:t>
      </w:r>
      <w:proofErr w:type="spellStart"/>
      <w:r w:rsidR="00711084">
        <w:rPr>
          <w:lang w:val="en-AU"/>
        </w:rPr>
        <w:t>Conetix</w:t>
      </w:r>
      <w:proofErr w:type="spellEnd"/>
      <w:r w:rsidR="00711084">
        <w:rPr>
          <w:lang w:val="en-AU"/>
        </w:rPr>
        <w:t xml:space="preserve">. Dr Janet Wheeler continues to carry out day-to-day </w:t>
      </w:r>
      <w:r w:rsidRPr="00994E48">
        <w:rPr>
          <w:lang w:val="en-AU"/>
        </w:rPr>
        <w:t xml:space="preserve">web-site </w:t>
      </w:r>
      <w:r w:rsidR="00711084">
        <w:rPr>
          <w:lang w:val="en-AU"/>
        </w:rPr>
        <w:t>updates as needed</w:t>
      </w:r>
      <w:r w:rsidR="00BA10C7">
        <w:rPr>
          <w:lang w:val="en-AU"/>
        </w:rPr>
        <w:t>. In 2016/2017</w:t>
      </w:r>
      <w:r w:rsidRPr="00994E48">
        <w:rPr>
          <w:lang w:val="en-AU"/>
        </w:rPr>
        <w:t xml:space="preserve">, ASPS </w:t>
      </w:r>
      <w:r w:rsidR="00711084">
        <w:rPr>
          <w:lang w:val="en-AU"/>
        </w:rPr>
        <w:t>paid</w:t>
      </w:r>
      <w:r w:rsidRPr="00994E48">
        <w:rPr>
          <w:lang w:val="en-AU"/>
        </w:rPr>
        <w:t xml:space="preserve"> $</w:t>
      </w:r>
      <w:r w:rsidR="00711084">
        <w:rPr>
          <w:lang w:val="en-AU"/>
        </w:rPr>
        <w:t>561.0</w:t>
      </w:r>
      <w:r w:rsidRPr="00994E48">
        <w:rPr>
          <w:lang w:val="en-AU"/>
        </w:rPr>
        <w:t>0 for on-going web</w:t>
      </w:r>
      <w:r w:rsidR="00711084">
        <w:rPr>
          <w:lang w:val="en-AU"/>
        </w:rPr>
        <w:t xml:space="preserve"> hosting by </w:t>
      </w:r>
      <w:proofErr w:type="spellStart"/>
      <w:r w:rsidR="00711084">
        <w:rPr>
          <w:lang w:val="en-AU"/>
        </w:rPr>
        <w:t>Conetix</w:t>
      </w:r>
      <w:proofErr w:type="spellEnd"/>
      <w:r w:rsidRPr="00994E48">
        <w:rPr>
          <w:lang w:val="en-AU"/>
        </w:rPr>
        <w:t>. I would like to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 xml:space="preserve">express particular thanks to Janet Wheeler </w:t>
      </w:r>
      <w:r w:rsidR="009D39D2">
        <w:rPr>
          <w:lang w:val="en-AU"/>
        </w:rPr>
        <w:t>for prompt updates to the</w:t>
      </w:r>
      <w:r w:rsidRPr="00994E48">
        <w:rPr>
          <w:lang w:val="en-AU"/>
        </w:rPr>
        <w:t xml:space="preserve"> ASPS website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and its member database</w:t>
      </w:r>
      <w:r w:rsidR="001A5D3E">
        <w:rPr>
          <w:lang w:val="en-AU"/>
        </w:rPr>
        <w:t>, and who provides rapid responses to enquiries about both</w:t>
      </w:r>
      <w:r w:rsidRPr="00994E48">
        <w:rPr>
          <w:lang w:val="en-AU"/>
        </w:rPr>
        <w:t>.</w:t>
      </w:r>
    </w:p>
    <w:p w14:paraId="78E4525B" w14:textId="6605BE4A" w:rsidR="00994E48" w:rsidRPr="00994E48" w:rsidRDefault="00994E48" w:rsidP="002C132D">
      <w:pPr>
        <w:spacing w:after="120"/>
        <w:ind w:left="142"/>
        <w:rPr>
          <w:lang w:val="en-AU"/>
        </w:rPr>
      </w:pPr>
      <w:r w:rsidRPr="00994E48">
        <w:rPr>
          <w:lang w:val="en-AU"/>
        </w:rPr>
        <w:t>ASPS representation at government (Science Meets Parliament) events and through global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societies (Global Plant Council, FAST</w:t>
      </w:r>
      <w:r w:rsidR="00841B6C">
        <w:rPr>
          <w:lang w:val="en-AU"/>
        </w:rPr>
        <w:t>S/STA</w:t>
      </w:r>
      <w:r w:rsidRPr="00994E48">
        <w:rPr>
          <w:lang w:val="en-AU"/>
        </w:rPr>
        <w:t xml:space="preserve">) </w:t>
      </w:r>
      <w:r w:rsidR="004A289A">
        <w:rPr>
          <w:lang w:val="en-AU"/>
        </w:rPr>
        <w:t>is</w:t>
      </w:r>
      <w:r w:rsidRPr="00994E48">
        <w:rPr>
          <w:lang w:val="en-AU"/>
        </w:rPr>
        <w:t xml:space="preserve"> important for developing networks and highlighting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the importan</w:t>
      </w:r>
      <w:r w:rsidR="00BA10C7">
        <w:rPr>
          <w:lang w:val="en-AU"/>
        </w:rPr>
        <w:t>ce of the plant science. I</w:t>
      </w:r>
      <w:r w:rsidR="00711084">
        <w:rPr>
          <w:lang w:val="en-AU"/>
        </w:rPr>
        <w:t>n the 2017/2018 financial year</w:t>
      </w:r>
      <w:r w:rsidRPr="00994E48">
        <w:rPr>
          <w:lang w:val="en-AU"/>
        </w:rPr>
        <w:t xml:space="preserve">, ASPS </w:t>
      </w:r>
      <w:r w:rsidR="00382A05">
        <w:rPr>
          <w:lang w:val="en-AU"/>
        </w:rPr>
        <w:t>expenses</w:t>
      </w:r>
      <w:r w:rsidR="00711084">
        <w:rPr>
          <w:lang w:val="en-AU"/>
        </w:rPr>
        <w:t xml:space="preserve"> of</w:t>
      </w:r>
      <w:r w:rsidRPr="00994E48">
        <w:rPr>
          <w:lang w:val="en-AU"/>
        </w:rPr>
        <w:t xml:space="preserve"> $</w:t>
      </w:r>
      <w:r w:rsidR="004C26B2">
        <w:rPr>
          <w:lang w:val="en-AU"/>
        </w:rPr>
        <w:t>2,942.15</w:t>
      </w:r>
      <w:r w:rsidRPr="00994E48">
        <w:rPr>
          <w:lang w:val="en-AU"/>
        </w:rPr>
        <w:t xml:space="preserve"> </w:t>
      </w:r>
      <w:r w:rsidR="00711084">
        <w:rPr>
          <w:lang w:val="en-AU"/>
        </w:rPr>
        <w:t xml:space="preserve">accrued </w:t>
      </w:r>
      <w:r w:rsidRPr="00994E48">
        <w:rPr>
          <w:lang w:val="en-AU"/>
        </w:rPr>
        <w:t xml:space="preserve">for </w:t>
      </w:r>
      <w:r w:rsidR="000D1BB4">
        <w:rPr>
          <w:lang w:val="en-AU"/>
        </w:rPr>
        <w:t>two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attende</w:t>
      </w:r>
      <w:r w:rsidR="001A5D3E">
        <w:rPr>
          <w:lang w:val="en-AU"/>
        </w:rPr>
        <w:t>es (</w:t>
      </w:r>
      <w:r w:rsidR="004C26B2">
        <w:rPr>
          <w:lang w:val="en-AU"/>
        </w:rPr>
        <w:t>Dr Jay Bose</w:t>
      </w:r>
      <w:r w:rsidR="001A5D3E">
        <w:rPr>
          <w:lang w:val="en-AU"/>
        </w:rPr>
        <w:t xml:space="preserve"> (201</w:t>
      </w:r>
      <w:r w:rsidR="004C26B2">
        <w:rPr>
          <w:lang w:val="en-AU"/>
        </w:rPr>
        <w:t>6</w:t>
      </w:r>
      <w:r w:rsidR="001A5D3E">
        <w:rPr>
          <w:lang w:val="en-AU"/>
        </w:rPr>
        <w:t xml:space="preserve">) and </w:t>
      </w:r>
      <w:r w:rsidR="004C26B2">
        <w:rPr>
          <w:lang w:val="en-AU"/>
        </w:rPr>
        <w:t>Dr Florian Busch (2017</w:t>
      </w:r>
      <w:r w:rsidRPr="00994E48">
        <w:rPr>
          <w:lang w:val="en-AU"/>
        </w:rPr>
        <w:t>)</w:t>
      </w:r>
      <w:r w:rsidR="004C26B2">
        <w:rPr>
          <w:lang w:val="en-AU"/>
        </w:rPr>
        <w:t>)</w:t>
      </w:r>
      <w:r w:rsidRPr="00994E48">
        <w:rPr>
          <w:lang w:val="en-AU"/>
        </w:rPr>
        <w:t xml:space="preserve"> to travel and participate in the annual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 xml:space="preserve">Science Meets Parliament festivities in Canberra. </w:t>
      </w:r>
      <w:r w:rsidR="00711084">
        <w:rPr>
          <w:lang w:val="en-AU"/>
        </w:rPr>
        <w:t xml:space="preserve">At the 2018 Science Meets Parliament event, ASPS was represented by Prof Barry </w:t>
      </w:r>
      <w:proofErr w:type="spellStart"/>
      <w:r w:rsidR="00711084">
        <w:rPr>
          <w:lang w:val="en-AU"/>
        </w:rPr>
        <w:t>Pogson</w:t>
      </w:r>
      <w:proofErr w:type="spellEnd"/>
      <w:r w:rsidR="00E95E63">
        <w:rPr>
          <w:lang w:val="en-AU"/>
        </w:rPr>
        <w:t xml:space="preserve">, </w:t>
      </w:r>
      <w:r w:rsidR="00885AC4">
        <w:rPr>
          <w:lang w:val="en-AU"/>
        </w:rPr>
        <w:t xml:space="preserve">Dr Mike </w:t>
      </w:r>
      <w:r w:rsidR="00904CEF">
        <w:rPr>
          <w:lang w:val="en-AU"/>
        </w:rPr>
        <w:t>Hayden</w:t>
      </w:r>
      <w:r w:rsidR="00885AC4">
        <w:rPr>
          <w:lang w:val="en-AU"/>
        </w:rPr>
        <w:t xml:space="preserve"> and Dr </w:t>
      </w:r>
      <w:r w:rsidR="00885AC4" w:rsidRPr="00920F36">
        <w:rPr>
          <w:color w:val="000000" w:themeColor="text1"/>
          <w:lang w:val="en-AU"/>
        </w:rPr>
        <w:t>Janet Wheeler</w:t>
      </w:r>
      <w:r w:rsidR="00382A05" w:rsidRPr="00920F36">
        <w:rPr>
          <w:color w:val="000000" w:themeColor="text1"/>
          <w:lang w:val="en-AU"/>
        </w:rPr>
        <w:t xml:space="preserve"> (total $6,035.37)</w:t>
      </w:r>
      <w:r w:rsidR="00711084" w:rsidRPr="00920F36">
        <w:rPr>
          <w:color w:val="000000" w:themeColor="text1"/>
          <w:lang w:val="en-AU"/>
        </w:rPr>
        <w:t xml:space="preserve">. </w:t>
      </w:r>
      <w:r w:rsidRPr="00920F36">
        <w:rPr>
          <w:color w:val="000000" w:themeColor="text1"/>
          <w:lang w:val="en-AU"/>
        </w:rPr>
        <w:t>ASPS allocated $</w:t>
      </w:r>
      <w:r w:rsidR="00920F36" w:rsidRPr="00920F36">
        <w:rPr>
          <w:color w:val="000000" w:themeColor="text1"/>
          <w:lang w:val="en-AU"/>
        </w:rPr>
        <w:t>2028.00</w:t>
      </w:r>
      <w:r w:rsidRPr="00920F36">
        <w:rPr>
          <w:color w:val="000000" w:themeColor="text1"/>
          <w:lang w:val="en-AU"/>
        </w:rPr>
        <w:t xml:space="preserve"> for</w:t>
      </w:r>
      <w:r w:rsidR="001E4A1C" w:rsidRPr="00920F36">
        <w:rPr>
          <w:color w:val="000000" w:themeColor="text1"/>
          <w:lang w:val="en-AU"/>
        </w:rPr>
        <w:t xml:space="preserve"> </w:t>
      </w:r>
      <w:r w:rsidR="00920F36">
        <w:rPr>
          <w:color w:val="000000" w:themeColor="text1"/>
          <w:lang w:val="en-AU"/>
        </w:rPr>
        <w:t>membership renewal</w:t>
      </w:r>
      <w:r w:rsidRPr="00920F36">
        <w:rPr>
          <w:color w:val="000000" w:themeColor="text1"/>
          <w:lang w:val="en-AU"/>
        </w:rPr>
        <w:t xml:space="preserve"> </w:t>
      </w:r>
      <w:r w:rsidR="00920F36">
        <w:rPr>
          <w:color w:val="000000" w:themeColor="text1"/>
          <w:lang w:val="en-AU"/>
        </w:rPr>
        <w:t>in</w:t>
      </w:r>
      <w:r w:rsidRPr="00920F36">
        <w:rPr>
          <w:color w:val="000000" w:themeColor="text1"/>
          <w:lang w:val="en-AU"/>
        </w:rPr>
        <w:t xml:space="preserve"> </w:t>
      </w:r>
      <w:r w:rsidR="00297F55">
        <w:rPr>
          <w:lang w:val="en-AU"/>
        </w:rPr>
        <w:t>FASTS (operating as STA)</w:t>
      </w:r>
      <w:r w:rsidRPr="00994E48">
        <w:rPr>
          <w:lang w:val="en-AU"/>
        </w:rPr>
        <w:t>.</w:t>
      </w:r>
    </w:p>
    <w:p w14:paraId="12121FEE" w14:textId="57615833" w:rsidR="00994E48" w:rsidRPr="00994E48" w:rsidRDefault="00994E48" w:rsidP="002C132D">
      <w:pPr>
        <w:spacing w:after="120"/>
        <w:ind w:left="142"/>
        <w:rPr>
          <w:lang w:val="en-AU"/>
        </w:rPr>
      </w:pPr>
      <w:r w:rsidRPr="00994E48">
        <w:rPr>
          <w:lang w:val="en-AU"/>
        </w:rPr>
        <w:t>In 2010-2011 funds ($36,327.87) were identified to support the revision and online preparation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of Plants in Action version 2, managed through the University of Queensland. The funds reside</w:t>
      </w:r>
      <w:r w:rsidR="001E4A1C">
        <w:rPr>
          <w:lang w:val="en-AU"/>
        </w:rPr>
        <w:t xml:space="preserve"> </w:t>
      </w:r>
      <w:r w:rsidR="000D1BB4">
        <w:rPr>
          <w:lang w:val="en-AU"/>
        </w:rPr>
        <w:t>within ASPS. In 2017/2018</w:t>
      </w:r>
      <w:r w:rsidRPr="00994E48">
        <w:rPr>
          <w:lang w:val="en-AU"/>
        </w:rPr>
        <w:t xml:space="preserve">, ASPS allocated </w:t>
      </w:r>
      <w:r w:rsidR="000D1BB4">
        <w:rPr>
          <w:lang w:val="en-AU"/>
        </w:rPr>
        <w:t xml:space="preserve">a further </w:t>
      </w:r>
      <w:r w:rsidRPr="00994E48">
        <w:rPr>
          <w:lang w:val="en-AU"/>
        </w:rPr>
        <w:t>$</w:t>
      </w:r>
      <w:r w:rsidR="00665163">
        <w:rPr>
          <w:lang w:val="en-AU"/>
        </w:rPr>
        <w:t>5,000</w:t>
      </w:r>
      <w:r w:rsidRPr="00994E48">
        <w:rPr>
          <w:lang w:val="en-AU"/>
        </w:rPr>
        <w:t xml:space="preserve"> to the University of Queensland for</w:t>
      </w:r>
      <w:r w:rsidR="001E4A1C">
        <w:rPr>
          <w:lang w:val="en-AU"/>
        </w:rPr>
        <w:t xml:space="preserve"> </w:t>
      </w:r>
      <w:r w:rsidR="001A5D3E">
        <w:rPr>
          <w:lang w:val="en-AU"/>
        </w:rPr>
        <w:lastRenderedPageBreak/>
        <w:t>online graphic development,</w:t>
      </w:r>
      <w:r w:rsidR="000D1BB4">
        <w:rPr>
          <w:lang w:val="en-AU"/>
        </w:rPr>
        <w:t xml:space="preserve"> and</w:t>
      </w:r>
      <w:r w:rsidR="001A5D3E">
        <w:rPr>
          <w:lang w:val="en-AU"/>
        </w:rPr>
        <w:t xml:space="preserve"> </w:t>
      </w:r>
      <w:r w:rsidR="004C26B2">
        <w:rPr>
          <w:lang w:val="en-AU"/>
        </w:rPr>
        <w:t>t</w:t>
      </w:r>
      <w:r w:rsidRPr="00994E48">
        <w:rPr>
          <w:lang w:val="en-AU"/>
        </w:rPr>
        <w:t>here is currently</w:t>
      </w:r>
      <w:r w:rsidR="001A5D3E">
        <w:rPr>
          <w:lang w:val="en-AU"/>
        </w:rPr>
        <w:t xml:space="preserve"> $3</w:t>
      </w:r>
      <w:r w:rsidR="00A75E7C">
        <w:rPr>
          <w:lang w:val="en-AU"/>
        </w:rPr>
        <w:t>,656.12 remaining in the ASPS</w:t>
      </w:r>
      <w:r w:rsidRPr="00994E48">
        <w:rPr>
          <w:lang w:val="en-AU"/>
        </w:rPr>
        <w:t xml:space="preserve"> Plants In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Action version 2 budget.</w:t>
      </w:r>
    </w:p>
    <w:p w14:paraId="15BA6447" w14:textId="3157B40D" w:rsidR="00994E48" w:rsidRPr="00994E48" w:rsidRDefault="00994E48" w:rsidP="002C132D">
      <w:pPr>
        <w:spacing w:after="120"/>
        <w:ind w:left="142"/>
        <w:rPr>
          <w:lang w:val="en-AU"/>
        </w:rPr>
      </w:pPr>
      <w:r w:rsidRPr="00994E48">
        <w:rPr>
          <w:lang w:val="en-AU"/>
        </w:rPr>
        <w:t>The financial transactions have been audited (</w:t>
      </w:r>
      <w:r w:rsidR="00C01650">
        <w:rPr>
          <w:lang w:val="en-AU"/>
        </w:rPr>
        <w:t>Clarkson Williams Partners Pty Ltd</w:t>
      </w:r>
      <w:r w:rsidRPr="00994E48">
        <w:rPr>
          <w:lang w:val="en-AU"/>
        </w:rPr>
        <w:t xml:space="preserve">, </w:t>
      </w:r>
      <w:r w:rsidR="00C01650">
        <w:rPr>
          <w:lang w:val="en-AU"/>
        </w:rPr>
        <w:t>Fyshwick,</w:t>
      </w:r>
      <w:r w:rsidRPr="00994E48">
        <w:rPr>
          <w:lang w:val="en-AU"/>
        </w:rPr>
        <w:t xml:space="preserve"> </w:t>
      </w:r>
      <w:r w:rsidR="00C01650">
        <w:rPr>
          <w:lang w:val="en-AU"/>
        </w:rPr>
        <w:t>ACT</w:t>
      </w:r>
      <w:r w:rsidRPr="00994E48">
        <w:rPr>
          <w:lang w:val="en-AU"/>
        </w:rPr>
        <w:t>) and the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>Auditor’s report is available for perusal with the financial summary at the AGM. Following the</w:t>
      </w:r>
      <w:r w:rsidR="00297F55">
        <w:rPr>
          <w:lang w:val="en-AU"/>
        </w:rPr>
        <w:t xml:space="preserve"> </w:t>
      </w:r>
      <w:r w:rsidRPr="00994E48">
        <w:rPr>
          <w:lang w:val="en-AU"/>
        </w:rPr>
        <w:t>AGM, the Auditor’s report and financial summary will be submi</w:t>
      </w:r>
      <w:r w:rsidR="001E4A1C">
        <w:rPr>
          <w:lang w:val="en-AU"/>
        </w:rPr>
        <w:t xml:space="preserve">tted to the Registrar General’s </w:t>
      </w:r>
      <w:r w:rsidRPr="00994E48">
        <w:rPr>
          <w:lang w:val="en-AU"/>
        </w:rPr>
        <w:t>Office in the ACT by our Public Officer (Prof. John Evans).</w:t>
      </w:r>
    </w:p>
    <w:p w14:paraId="51DCB8C3" w14:textId="3D9250EB" w:rsidR="00994E48" w:rsidRPr="00994E48" w:rsidRDefault="00994E48" w:rsidP="002C132D">
      <w:pPr>
        <w:spacing w:before="240" w:after="120"/>
        <w:rPr>
          <w:lang w:val="en-AU"/>
        </w:rPr>
      </w:pPr>
      <w:r w:rsidRPr="00994E48">
        <w:rPr>
          <w:lang w:val="en-AU"/>
        </w:rPr>
        <w:t>In summary, the society’s finances remain</w:t>
      </w:r>
      <w:r w:rsidR="001E4A1C">
        <w:rPr>
          <w:lang w:val="en-AU"/>
        </w:rPr>
        <w:t xml:space="preserve"> resilient. </w:t>
      </w:r>
      <w:r w:rsidR="00297F55">
        <w:rPr>
          <w:lang w:val="en-AU"/>
        </w:rPr>
        <w:t>T</w:t>
      </w:r>
      <w:r w:rsidRPr="00994E48">
        <w:rPr>
          <w:lang w:val="en-AU"/>
        </w:rPr>
        <w:t xml:space="preserve">he society </w:t>
      </w:r>
      <w:r w:rsidR="000D1BB4">
        <w:rPr>
          <w:lang w:val="en-AU"/>
        </w:rPr>
        <w:t>maintained</w:t>
      </w:r>
      <w:r w:rsidRPr="00994E48">
        <w:rPr>
          <w:lang w:val="en-AU"/>
        </w:rPr>
        <w:t xml:space="preserve"> </w:t>
      </w:r>
      <w:r w:rsidR="00C01650">
        <w:rPr>
          <w:lang w:val="en-AU"/>
        </w:rPr>
        <w:t xml:space="preserve">income relative to </w:t>
      </w:r>
      <w:r w:rsidRPr="00994E48">
        <w:rPr>
          <w:lang w:val="en-AU"/>
        </w:rPr>
        <w:t xml:space="preserve">expenditure </w:t>
      </w:r>
      <w:r w:rsidR="000D1BB4">
        <w:rPr>
          <w:lang w:val="en-AU"/>
        </w:rPr>
        <w:t>in 2017/2018</w:t>
      </w:r>
      <w:r w:rsidRPr="00994E48">
        <w:rPr>
          <w:lang w:val="en-AU"/>
        </w:rPr>
        <w:t xml:space="preserve">, </w:t>
      </w:r>
      <w:r w:rsidR="000D1BB4">
        <w:rPr>
          <w:lang w:val="en-AU"/>
        </w:rPr>
        <w:t xml:space="preserve">which will be reflected in the 2018/2019 year </w:t>
      </w:r>
      <w:r w:rsidR="00D41B88">
        <w:rPr>
          <w:lang w:val="en-AU"/>
        </w:rPr>
        <w:t xml:space="preserve">with </w:t>
      </w:r>
      <w:r w:rsidR="0019038B">
        <w:rPr>
          <w:lang w:val="en-AU"/>
        </w:rPr>
        <w:t>both</w:t>
      </w:r>
      <w:r w:rsidR="00D41B88">
        <w:rPr>
          <w:lang w:val="en-AU"/>
        </w:rPr>
        <w:t xml:space="preserve"> </w:t>
      </w:r>
      <w:proofErr w:type="spellStart"/>
      <w:r w:rsidRPr="00994E48">
        <w:rPr>
          <w:lang w:val="en-AU"/>
        </w:rPr>
        <w:t>ComBio</w:t>
      </w:r>
      <w:proofErr w:type="spellEnd"/>
      <w:r w:rsidR="00D41B88">
        <w:rPr>
          <w:lang w:val="en-AU"/>
        </w:rPr>
        <w:t xml:space="preserve"> 2017 and 2018</w:t>
      </w:r>
      <w:r w:rsidRPr="00994E48">
        <w:rPr>
          <w:lang w:val="en-AU"/>
        </w:rPr>
        <w:t xml:space="preserve"> returns</w:t>
      </w:r>
      <w:r w:rsidR="00727AC4">
        <w:rPr>
          <w:lang w:val="en-AU"/>
        </w:rPr>
        <w:t xml:space="preserve"> accrui</w:t>
      </w:r>
      <w:r w:rsidR="0019038B">
        <w:rPr>
          <w:lang w:val="en-AU"/>
        </w:rPr>
        <w:t>ng in the next financial year</w:t>
      </w:r>
      <w:r w:rsidRPr="00994E48">
        <w:rPr>
          <w:lang w:val="en-AU"/>
        </w:rPr>
        <w:t xml:space="preserve">. Income has been supported by </w:t>
      </w:r>
      <w:r w:rsidR="006014F3">
        <w:rPr>
          <w:lang w:val="en-AU"/>
        </w:rPr>
        <w:t xml:space="preserve">a </w:t>
      </w:r>
      <w:r w:rsidR="000D1BB4">
        <w:rPr>
          <w:lang w:val="en-AU"/>
        </w:rPr>
        <w:t>sustained</w:t>
      </w:r>
      <w:r w:rsidR="006014F3">
        <w:rPr>
          <w:lang w:val="en-AU"/>
        </w:rPr>
        <w:t xml:space="preserve"> </w:t>
      </w:r>
      <w:r w:rsidR="006014F3" w:rsidRPr="00382A05">
        <w:rPr>
          <w:color w:val="000000" w:themeColor="text1"/>
          <w:lang w:val="en-AU"/>
        </w:rPr>
        <w:t>membership revenue</w:t>
      </w:r>
      <w:r w:rsidRPr="00382A05">
        <w:rPr>
          <w:color w:val="000000" w:themeColor="text1"/>
          <w:lang w:val="en-AU"/>
        </w:rPr>
        <w:t>. There is room for improvement</w:t>
      </w:r>
      <w:r w:rsidR="00920F36">
        <w:rPr>
          <w:color w:val="000000" w:themeColor="text1"/>
          <w:lang w:val="en-AU"/>
        </w:rPr>
        <w:t>,</w:t>
      </w:r>
      <w:r w:rsidRPr="00382A05">
        <w:rPr>
          <w:color w:val="000000" w:themeColor="text1"/>
          <w:lang w:val="en-AU"/>
        </w:rPr>
        <w:t xml:space="preserve"> </w:t>
      </w:r>
      <w:r w:rsidRPr="00994E48">
        <w:rPr>
          <w:lang w:val="en-AU"/>
        </w:rPr>
        <w:t>in particular</w:t>
      </w:r>
      <w:r w:rsidR="00920F36">
        <w:rPr>
          <w:lang w:val="en-AU"/>
        </w:rPr>
        <w:t>,</w:t>
      </w:r>
      <w:r w:rsidRPr="00994E48">
        <w:rPr>
          <w:lang w:val="en-AU"/>
        </w:rPr>
        <w:t xml:space="preserve"> facilitating long-term</w:t>
      </w:r>
      <w:r w:rsidR="001E4A1C">
        <w:rPr>
          <w:lang w:val="en-AU"/>
        </w:rPr>
        <w:t xml:space="preserve"> </w:t>
      </w:r>
      <w:r w:rsidRPr="00994E48">
        <w:rPr>
          <w:lang w:val="en-AU"/>
        </w:rPr>
        <w:t xml:space="preserve">commitments by members to </w:t>
      </w:r>
      <w:r w:rsidR="00297F55">
        <w:rPr>
          <w:lang w:val="en-AU"/>
        </w:rPr>
        <w:t>Society</w:t>
      </w:r>
      <w:r w:rsidRPr="00994E48">
        <w:rPr>
          <w:lang w:val="en-AU"/>
        </w:rPr>
        <w:t xml:space="preserve"> activities and ensu</w:t>
      </w:r>
      <w:r w:rsidR="001E4A1C">
        <w:rPr>
          <w:lang w:val="en-AU"/>
        </w:rPr>
        <w:t xml:space="preserve">ring we provide a proactive and </w:t>
      </w:r>
      <w:r w:rsidRPr="00994E48">
        <w:rPr>
          <w:lang w:val="en-AU"/>
        </w:rPr>
        <w:t>engaging society to both new and existing plant scientists and supporters in Australia and overseas.</w:t>
      </w:r>
    </w:p>
    <w:p w14:paraId="3D704228" w14:textId="579E4B26" w:rsidR="00994E48" w:rsidRPr="00994E48" w:rsidRDefault="00994E48" w:rsidP="002C132D">
      <w:pPr>
        <w:spacing w:after="120"/>
        <w:rPr>
          <w:lang w:val="en-AU"/>
        </w:rPr>
      </w:pPr>
      <w:r w:rsidRPr="00994E48">
        <w:rPr>
          <w:lang w:val="en-AU"/>
        </w:rPr>
        <w:t xml:space="preserve">I would like to thank members of the executive (John Evans and </w:t>
      </w:r>
      <w:r w:rsidR="00297F55">
        <w:rPr>
          <w:lang w:val="en-AU"/>
        </w:rPr>
        <w:t>Matt Gilliham</w:t>
      </w:r>
      <w:r w:rsidRPr="00994E48">
        <w:rPr>
          <w:lang w:val="en-AU"/>
        </w:rPr>
        <w:t>)</w:t>
      </w:r>
      <w:r w:rsidR="00297F55">
        <w:rPr>
          <w:lang w:val="en-AU"/>
        </w:rPr>
        <w:t>, previous Hon</w:t>
      </w:r>
      <w:r w:rsidR="008F74AE">
        <w:rPr>
          <w:lang w:val="en-AU"/>
        </w:rPr>
        <w:t>.</w:t>
      </w:r>
      <w:r w:rsidR="00297F55">
        <w:rPr>
          <w:lang w:val="en-AU"/>
        </w:rPr>
        <w:t xml:space="preserve"> Treasurer Brent Kaiser</w:t>
      </w:r>
      <w:r w:rsidR="00920F36">
        <w:rPr>
          <w:lang w:val="en-AU"/>
        </w:rPr>
        <w:t>,</w:t>
      </w:r>
      <w:r w:rsidR="008F74AE">
        <w:rPr>
          <w:lang w:val="en-AU"/>
        </w:rPr>
        <w:t xml:space="preserve"> president </w:t>
      </w:r>
      <w:r w:rsidRPr="00994E48">
        <w:rPr>
          <w:lang w:val="en-AU"/>
        </w:rPr>
        <w:t xml:space="preserve">Sergey Shabala </w:t>
      </w:r>
      <w:r w:rsidR="00920F36">
        <w:rPr>
          <w:lang w:val="en-AU"/>
        </w:rPr>
        <w:t xml:space="preserve">and president-elect Kathleen </w:t>
      </w:r>
      <w:proofErr w:type="spellStart"/>
      <w:r w:rsidR="00920F36">
        <w:rPr>
          <w:lang w:val="en-AU"/>
        </w:rPr>
        <w:t>Soole</w:t>
      </w:r>
      <w:proofErr w:type="spellEnd"/>
      <w:r w:rsidR="00920F36">
        <w:rPr>
          <w:lang w:val="en-AU"/>
        </w:rPr>
        <w:t xml:space="preserve"> </w:t>
      </w:r>
      <w:r w:rsidRPr="00994E48">
        <w:rPr>
          <w:lang w:val="en-AU"/>
        </w:rPr>
        <w:t xml:space="preserve">for </w:t>
      </w:r>
      <w:r w:rsidR="00382A05">
        <w:rPr>
          <w:lang w:val="en-AU"/>
        </w:rPr>
        <w:t>ongoing</w:t>
      </w:r>
      <w:r w:rsidRPr="00994E48">
        <w:rPr>
          <w:lang w:val="en-AU"/>
        </w:rPr>
        <w:t xml:space="preserve"> support </w:t>
      </w:r>
      <w:r w:rsidR="00382A05">
        <w:rPr>
          <w:lang w:val="en-AU"/>
        </w:rPr>
        <w:t>during</w:t>
      </w:r>
      <w:r w:rsidRPr="00994E48">
        <w:rPr>
          <w:lang w:val="en-AU"/>
        </w:rPr>
        <w:t xml:space="preserve"> the year.</w:t>
      </w:r>
    </w:p>
    <w:p w14:paraId="16A6BE71" w14:textId="1903F4DF" w:rsidR="00994E48" w:rsidRPr="00994E48" w:rsidRDefault="00994E48" w:rsidP="00994E48">
      <w:pPr>
        <w:rPr>
          <w:lang w:val="en-AU"/>
        </w:rPr>
      </w:pPr>
    </w:p>
    <w:p w14:paraId="15E4BA96" w14:textId="586F2A32" w:rsidR="00994E48" w:rsidRPr="00994E48" w:rsidRDefault="00297F55" w:rsidP="00994E48">
      <w:pPr>
        <w:rPr>
          <w:lang w:val="en-AU"/>
        </w:rPr>
      </w:pPr>
      <w:r>
        <w:rPr>
          <w:lang w:val="en-AU"/>
        </w:rPr>
        <w:t>Rosemary G White</w:t>
      </w:r>
    </w:p>
    <w:p w14:paraId="02D6D58D" w14:textId="135BA460" w:rsidR="00994E48" w:rsidRPr="00994E48" w:rsidRDefault="00994E48" w:rsidP="00994E48">
      <w:pPr>
        <w:rPr>
          <w:lang w:val="en-AU"/>
        </w:rPr>
      </w:pPr>
      <w:r w:rsidRPr="00994E48">
        <w:rPr>
          <w:lang w:val="en-AU"/>
        </w:rPr>
        <w:t>Honorary Treasurer ASPS</w:t>
      </w:r>
    </w:p>
    <w:p w14:paraId="06CB3986" w14:textId="2CAFF8AC" w:rsidR="00994E48" w:rsidRDefault="000D1BB4" w:rsidP="00994E48">
      <w:pPr>
        <w:rPr>
          <w:lang w:val="en-AU"/>
        </w:rPr>
      </w:pPr>
      <w:proofErr w:type="spellStart"/>
      <w:r>
        <w:rPr>
          <w:lang w:val="en-AU"/>
        </w:rPr>
        <w:t>ComBio</w:t>
      </w:r>
      <w:proofErr w:type="spellEnd"/>
      <w:r>
        <w:rPr>
          <w:lang w:val="en-AU"/>
        </w:rPr>
        <w:t xml:space="preserve"> 2018</w:t>
      </w:r>
      <w:r w:rsidR="00994E48" w:rsidRPr="00994E48">
        <w:rPr>
          <w:lang w:val="en-AU"/>
        </w:rPr>
        <w:t xml:space="preserve"> </w:t>
      </w:r>
      <w:r>
        <w:rPr>
          <w:lang w:val="en-AU"/>
        </w:rPr>
        <w:t>Sydney</w:t>
      </w:r>
    </w:p>
    <w:p w14:paraId="62EC7630" w14:textId="77777777" w:rsidR="003D6D9A" w:rsidRDefault="003D6D9A" w:rsidP="00994E48">
      <w:pPr>
        <w:rPr>
          <w:lang w:val="en-AU"/>
        </w:rPr>
      </w:pPr>
    </w:p>
    <w:p w14:paraId="1B3529F6" w14:textId="0245950A" w:rsidR="004041FB" w:rsidRDefault="0019038B" w:rsidP="00994E48">
      <w:pPr>
        <w:rPr>
          <w:lang w:val="en-AU"/>
        </w:rPr>
      </w:pPr>
      <w:r>
        <w:rPr>
          <w:lang w:val="en-AU"/>
        </w:rPr>
        <w:t>submitted by xx in lieu of RG White</w:t>
      </w:r>
    </w:p>
    <w:p w14:paraId="33F61866" w14:textId="13A07236" w:rsidR="003D6D9A" w:rsidRPr="00994E48" w:rsidRDefault="003D6D9A" w:rsidP="00994E48">
      <w:pPr>
        <w:rPr>
          <w:lang w:val="en-AU"/>
        </w:rPr>
      </w:pPr>
      <w:bookmarkStart w:id="0" w:name="_GoBack"/>
      <w:bookmarkEnd w:id="0"/>
    </w:p>
    <w:sectPr w:rsidR="003D6D9A" w:rsidRPr="00994E48" w:rsidSect="003A2BE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8"/>
    <w:rsid w:val="0003190B"/>
    <w:rsid w:val="00052823"/>
    <w:rsid w:val="0007389F"/>
    <w:rsid w:val="000D09F0"/>
    <w:rsid w:val="000D1BB4"/>
    <w:rsid w:val="00130E90"/>
    <w:rsid w:val="001573BD"/>
    <w:rsid w:val="0018331B"/>
    <w:rsid w:val="0019038B"/>
    <w:rsid w:val="001A0110"/>
    <w:rsid w:val="001A5D3E"/>
    <w:rsid w:val="001B40BA"/>
    <w:rsid w:val="001D32A9"/>
    <w:rsid w:val="001E4A1C"/>
    <w:rsid w:val="00241FF5"/>
    <w:rsid w:val="00281035"/>
    <w:rsid w:val="00287270"/>
    <w:rsid w:val="00297F55"/>
    <w:rsid w:val="002A5DED"/>
    <w:rsid w:val="002C132D"/>
    <w:rsid w:val="002E35C3"/>
    <w:rsid w:val="003277AB"/>
    <w:rsid w:val="00330236"/>
    <w:rsid w:val="003400DF"/>
    <w:rsid w:val="00361355"/>
    <w:rsid w:val="00374487"/>
    <w:rsid w:val="00382A05"/>
    <w:rsid w:val="00393BF7"/>
    <w:rsid w:val="003A2BE6"/>
    <w:rsid w:val="003B354C"/>
    <w:rsid w:val="003C310B"/>
    <w:rsid w:val="003D6D9A"/>
    <w:rsid w:val="003F1BEC"/>
    <w:rsid w:val="00401A82"/>
    <w:rsid w:val="004041FB"/>
    <w:rsid w:val="0043081B"/>
    <w:rsid w:val="00433155"/>
    <w:rsid w:val="004525B7"/>
    <w:rsid w:val="00462861"/>
    <w:rsid w:val="00474789"/>
    <w:rsid w:val="00486415"/>
    <w:rsid w:val="004947AE"/>
    <w:rsid w:val="004A289A"/>
    <w:rsid w:val="004A588D"/>
    <w:rsid w:val="004B020C"/>
    <w:rsid w:val="004C26B2"/>
    <w:rsid w:val="005207C4"/>
    <w:rsid w:val="0053321D"/>
    <w:rsid w:val="005652D4"/>
    <w:rsid w:val="00567804"/>
    <w:rsid w:val="005B5415"/>
    <w:rsid w:val="005C31D5"/>
    <w:rsid w:val="005E6778"/>
    <w:rsid w:val="006014F3"/>
    <w:rsid w:val="0065152B"/>
    <w:rsid w:val="00665163"/>
    <w:rsid w:val="00676BE9"/>
    <w:rsid w:val="00684359"/>
    <w:rsid w:val="006A5774"/>
    <w:rsid w:val="00711084"/>
    <w:rsid w:val="0072336D"/>
    <w:rsid w:val="00727AC4"/>
    <w:rsid w:val="00770821"/>
    <w:rsid w:val="00841B6C"/>
    <w:rsid w:val="00885AC4"/>
    <w:rsid w:val="008B0652"/>
    <w:rsid w:val="008B0EF9"/>
    <w:rsid w:val="008B469B"/>
    <w:rsid w:val="008E6462"/>
    <w:rsid w:val="008F74AE"/>
    <w:rsid w:val="00904CEF"/>
    <w:rsid w:val="00920F36"/>
    <w:rsid w:val="00924BD9"/>
    <w:rsid w:val="009458CE"/>
    <w:rsid w:val="00994E48"/>
    <w:rsid w:val="009D39D2"/>
    <w:rsid w:val="00A2041E"/>
    <w:rsid w:val="00A55513"/>
    <w:rsid w:val="00A74E47"/>
    <w:rsid w:val="00A75E7C"/>
    <w:rsid w:val="00A76832"/>
    <w:rsid w:val="00A8201F"/>
    <w:rsid w:val="00A93910"/>
    <w:rsid w:val="00A96518"/>
    <w:rsid w:val="00AD280C"/>
    <w:rsid w:val="00AE54E2"/>
    <w:rsid w:val="00B25EB3"/>
    <w:rsid w:val="00B65063"/>
    <w:rsid w:val="00B80CC8"/>
    <w:rsid w:val="00B86A53"/>
    <w:rsid w:val="00B91D23"/>
    <w:rsid w:val="00BA10C7"/>
    <w:rsid w:val="00BA49C0"/>
    <w:rsid w:val="00BB14B0"/>
    <w:rsid w:val="00BD596A"/>
    <w:rsid w:val="00BE5647"/>
    <w:rsid w:val="00BF626E"/>
    <w:rsid w:val="00C01650"/>
    <w:rsid w:val="00C56A2C"/>
    <w:rsid w:val="00C85A4F"/>
    <w:rsid w:val="00CA15FB"/>
    <w:rsid w:val="00CA6682"/>
    <w:rsid w:val="00CB5B38"/>
    <w:rsid w:val="00CC478A"/>
    <w:rsid w:val="00D00A41"/>
    <w:rsid w:val="00D12DE4"/>
    <w:rsid w:val="00D215BD"/>
    <w:rsid w:val="00D41B88"/>
    <w:rsid w:val="00D541A8"/>
    <w:rsid w:val="00DA4B30"/>
    <w:rsid w:val="00DB55D5"/>
    <w:rsid w:val="00DE4F7B"/>
    <w:rsid w:val="00DF1994"/>
    <w:rsid w:val="00E0553B"/>
    <w:rsid w:val="00E278E0"/>
    <w:rsid w:val="00E56DEE"/>
    <w:rsid w:val="00E93007"/>
    <w:rsid w:val="00E95E63"/>
    <w:rsid w:val="00EA1920"/>
    <w:rsid w:val="00EA36AD"/>
    <w:rsid w:val="00EC4F08"/>
    <w:rsid w:val="00F446D3"/>
    <w:rsid w:val="00F47268"/>
    <w:rsid w:val="00F70E35"/>
    <w:rsid w:val="00FA4154"/>
    <w:rsid w:val="00FB27B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66852"/>
  <w14:defaultImageDpi w14:val="32767"/>
  <w15:docId w15:val="{9DB256B6-B50E-40E6-911B-AB6B95F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DE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1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White</dc:creator>
  <cp:keywords/>
  <dc:description/>
  <cp:lastModifiedBy>Janet Wheeler</cp:lastModifiedBy>
  <cp:revision>2</cp:revision>
  <cp:lastPrinted>2018-06-07T05:39:00Z</cp:lastPrinted>
  <dcterms:created xsi:type="dcterms:W3CDTF">2019-09-18T02:03:00Z</dcterms:created>
  <dcterms:modified xsi:type="dcterms:W3CDTF">2019-09-18T02:03:00Z</dcterms:modified>
</cp:coreProperties>
</file>