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74712" w14:textId="15BC1901" w:rsidR="005B7BC8" w:rsidRPr="00EB2BD1" w:rsidRDefault="005B7BC8" w:rsidP="0099555E">
      <w:pPr>
        <w:pStyle w:val="Heading1"/>
        <w:jc w:val="center"/>
        <w:rPr>
          <w:rFonts w:ascii="Source Sans Pro" w:hAnsi="Source Sans Pro"/>
        </w:rPr>
      </w:pPr>
      <w:r w:rsidRPr="00EB2BD1">
        <w:rPr>
          <w:rFonts w:ascii="Source Sans Pro" w:hAnsi="Source Sans Pro"/>
        </w:rPr>
        <w:t>ASPS Treasurer’s Report for the Period 1 May 202</w:t>
      </w:r>
      <w:r w:rsidRPr="00EB2BD1">
        <w:rPr>
          <w:rFonts w:ascii="Source Sans Pro" w:hAnsi="Source Sans Pro"/>
        </w:rPr>
        <w:t>2</w:t>
      </w:r>
      <w:r w:rsidRPr="00EB2BD1">
        <w:rPr>
          <w:rFonts w:ascii="Source Sans Pro" w:hAnsi="Source Sans Pro"/>
        </w:rPr>
        <w:t xml:space="preserve"> – 30 Apr 202</w:t>
      </w:r>
      <w:r w:rsidRPr="00EB2BD1">
        <w:rPr>
          <w:rFonts w:ascii="Source Sans Pro" w:hAnsi="Source Sans Pro"/>
        </w:rPr>
        <w:t>3</w:t>
      </w:r>
    </w:p>
    <w:p w14:paraId="673E4A57" w14:textId="6F900B41" w:rsidR="005B7BC8" w:rsidRPr="00EB2BD1" w:rsidRDefault="005B7BC8" w:rsidP="0099555E">
      <w:pPr>
        <w:pStyle w:val="Heading3"/>
        <w:spacing w:after="0"/>
        <w:jc w:val="center"/>
        <w:rPr>
          <w:i w:val="0"/>
          <w:iCs w:val="0"/>
        </w:rPr>
      </w:pPr>
      <w:r w:rsidRPr="00EB2BD1">
        <w:rPr>
          <w:i w:val="0"/>
          <w:iCs w:val="0"/>
        </w:rPr>
        <w:t xml:space="preserve">Prepared by </w:t>
      </w:r>
      <w:r w:rsidRPr="00EB2BD1">
        <w:rPr>
          <w:i w:val="0"/>
          <w:iCs w:val="0"/>
        </w:rPr>
        <w:t>Mark Waters</w:t>
      </w:r>
      <w:r w:rsidRPr="00EB2BD1">
        <w:rPr>
          <w:i w:val="0"/>
          <w:iCs w:val="0"/>
        </w:rPr>
        <w:t xml:space="preserve"> (ASPS Honorary Treasurer)</w:t>
      </w:r>
    </w:p>
    <w:p w14:paraId="60123977" w14:textId="79686062" w:rsidR="000339B3" w:rsidRDefault="005B7BC8" w:rsidP="0099555E">
      <w:pPr>
        <w:pStyle w:val="Heading3"/>
        <w:spacing w:after="0"/>
        <w:jc w:val="center"/>
      </w:pPr>
      <w:r w:rsidRPr="00EB2BD1">
        <w:rPr>
          <w:i w:val="0"/>
          <w:iCs w:val="0"/>
        </w:rPr>
        <w:t xml:space="preserve">Presented at the AGM on Thursday </w:t>
      </w:r>
      <w:r w:rsidRPr="00EB2BD1">
        <w:rPr>
          <w:i w:val="0"/>
          <w:iCs w:val="0"/>
        </w:rPr>
        <w:t>30 November</w:t>
      </w:r>
      <w:r w:rsidRPr="00EB2BD1">
        <w:rPr>
          <w:i w:val="0"/>
          <w:iCs w:val="0"/>
        </w:rPr>
        <w:t xml:space="preserve"> 202</w:t>
      </w:r>
      <w:r w:rsidRPr="00EB2BD1">
        <w:rPr>
          <w:i w:val="0"/>
          <w:iCs w:val="0"/>
        </w:rPr>
        <w:t>3, University of Tasmania</w:t>
      </w:r>
    </w:p>
    <w:p w14:paraId="0AAEFA17" w14:textId="77777777" w:rsidR="0099555E" w:rsidRPr="0099555E" w:rsidRDefault="0099555E" w:rsidP="0099555E"/>
    <w:p w14:paraId="2DA08707" w14:textId="3B5A0F70" w:rsidR="005B7BC8" w:rsidRPr="0099555E" w:rsidRDefault="00F67F65" w:rsidP="0099555E">
      <w:pPr>
        <w:pStyle w:val="Heading2"/>
      </w:pPr>
      <w:r w:rsidRPr="0099555E">
        <w:t>BUDGET</w:t>
      </w:r>
    </w:p>
    <w:p w14:paraId="23A5631D" w14:textId="16E93F0F" w:rsidR="00F67F65" w:rsidRPr="0099555E" w:rsidRDefault="005B7BC8" w:rsidP="0099555E">
      <w:r w:rsidRPr="0099555E">
        <w:t>The financial position of the Society, for the financial year 1 May 202</w:t>
      </w:r>
      <w:r w:rsidRPr="0099555E">
        <w:t>2</w:t>
      </w:r>
      <w:r w:rsidRPr="0099555E">
        <w:t xml:space="preserve"> </w:t>
      </w:r>
      <w:r w:rsidRPr="0099555E">
        <w:t>–</w:t>
      </w:r>
      <w:r w:rsidRPr="0099555E">
        <w:t xml:space="preserve"> 30 April 202</w:t>
      </w:r>
      <w:r w:rsidRPr="0099555E">
        <w:t>3</w:t>
      </w:r>
      <w:r w:rsidRPr="0099555E">
        <w:t xml:space="preserve">, is strong. The Society holds significant cash reserves, largely due to the significant income received from the profits of the ASPS </w:t>
      </w:r>
      <w:r w:rsidRPr="0099555E">
        <w:t xml:space="preserve">and </w:t>
      </w:r>
      <w:proofErr w:type="spellStart"/>
      <w:r w:rsidRPr="0099555E">
        <w:t>ComBio</w:t>
      </w:r>
      <w:proofErr w:type="spellEnd"/>
      <w:r w:rsidRPr="0099555E">
        <w:t xml:space="preserve"> </w:t>
      </w:r>
      <w:r w:rsidRPr="0099555E">
        <w:t>conference</w:t>
      </w:r>
      <w:r w:rsidRPr="0099555E">
        <w:t>s</w:t>
      </w:r>
      <w:r w:rsidRPr="0099555E">
        <w:t xml:space="preserve"> in </w:t>
      </w:r>
      <w:r w:rsidR="004E1952" w:rsidRPr="0099555E">
        <w:t xml:space="preserve">2018 and </w:t>
      </w:r>
      <w:r w:rsidRPr="0099555E">
        <w:t xml:space="preserve">2019. Membership income </w:t>
      </w:r>
      <w:r w:rsidRPr="0099555E">
        <w:t>continued to grow</w:t>
      </w:r>
      <w:r w:rsidRPr="0099555E">
        <w:t xml:space="preserve"> this year</w:t>
      </w:r>
      <w:r w:rsidRPr="0099555E">
        <w:t xml:space="preserve">, but expenses increased relative to previous years that were impacted by </w:t>
      </w:r>
      <w:r w:rsidRPr="0099555E">
        <w:t>COVID-19. In 202</w:t>
      </w:r>
      <w:r w:rsidRPr="0099555E">
        <w:t>2</w:t>
      </w:r>
      <w:r w:rsidRPr="0099555E">
        <w:t>/202</w:t>
      </w:r>
      <w:r w:rsidRPr="0099555E">
        <w:t>3</w:t>
      </w:r>
      <w:r w:rsidRPr="0099555E">
        <w:t xml:space="preserve">, this culminated in an end of year operating </w:t>
      </w:r>
      <w:r w:rsidRPr="0099555E">
        <w:t>deficit</w:t>
      </w:r>
      <w:r w:rsidRPr="0099555E">
        <w:t xml:space="preserve"> of $</w:t>
      </w:r>
      <w:r w:rsidRPr="0099555E">
        <w:t>9,498.77, after two years</w:t>
      </w:r>
      <w:r w:rsidRPr="0099555E">
        <w:t xml:space="preserve"> of </w:t>
      </w:r>
      <w:r w:rsidR="004E1952" w:rsidRPr="0099555E">
        <w:t>substantial</w:t>
      </w:r>
      <w:r w:rsidRPr="0099555E">
        <w:t xml:space="preserve"> operating surplus</w:t>
      </w:r>
      <w:r w:rsidR="004E1952" w:rsidRPr="0099555E">
        <w:t>es</w:t>
      </w:r>
      <w:r w:rsidRPr="0099555E">
        <w:t xml:space="preserve"> ($31,606.34 in 2021/22 and </w:t>
      </w:r>
      <w:r w:rsidRPr="0099555E">
        <w:t>$72,830.82 in 2020/21</w:t>
      </w:r>
      <w:r w:rsidRPr="0099555E">
        <w:t>)</w:t>
      </w:r>
      <w:r w:rsidRPr="0099555E">
        <w:t xml:space="preserve">. </w:t>
      </w:r>
      <w:r w:rsidRPr="0099555E">
        <w:t xml:space="preserve">A </w:t>
      </w:r>
      <w:r w:rsidR="004E1952" w:rsidRPr="0099555E">
        <w:t>large</w:t>
      </w:r>
      <w:r w:rsidRPr="0099555E">
        <w:t xml:space="preserve"> proportion ($3,328) of this deficit was due to investment losses in the RN Robertson Fund</w:t>
      </w:r>
      <w:r w:rsidR="004E1952" w:rsidRPr="0099555E">
        <w:t xml:space="preserve"> which suffered from financial market jitters in early 2023. H</w:t>
      </w:r>
      <w:r w:rsidRPr="0099555E">
        <w:t xml:space="preserve">owever, this deficit does not account </w:t>
      </w:r>
      <w:r w:rsidR="005569BC" w:rsidRPr="0099555E">
        <w:t xml:space="preserve">for </w:t>
      </w:r>
      <w:r w:rsidR="004E1952" w:rsidRPr="0099555E">
        <w:t xml:space="preserve">our proportion of </w:t>
      </w:r>
      <w:r w:rsidRPr="0099555E">
        <w:t>profits from the ComBio2022 conference ($</w:t>
      </w:r>
      <w:r w:rsidR="004E1952" w:rsidRPr="0099555E">
        <w:t>18,208</w:t>
      </w:r>
      <w:r w:rsidRPr="0099555E">
        <w:t>)</w:t>
      </w:r>
      <w:r w:rsidR="004E1952" w:rsidRPr="0099555E">
        <w:t>, which</w:t>
      </w:r>
      <w:r w:rsidRPr="0099555E">
        <w:t xml:space="preserve"> will be recorded in FY2023/24. As a result, </w:t>
      </w:r>
      <w:r w:rsidR="004E1952" w:rsidRPr="0099555E">
        <w:t xml:space="preserve">our </w:t>
      </w:r>
      <w:r w:rsidR="005569BC" w:rsidRPr="0099555E">
        <w:t xml:space="preserve">overall </w:t>
      </w:r>
      <w:r w:rsidR="004E1952" w:rsidRPr="0099555E">
        <w:t>financ</w:t>
      </w:r>
      <w:r w:rsidR="005569BC" w:rsidRPr="0099555E">
        <w:t>ial position is robust</w:t>
      </w:r>
      <w:r w:rsidR="004E1952" w:rsidRPr="0099555E">
        <w:t xml:space="preserve">. </w:t>
      </w:r>
      <w:r w:rsidRPr="0099555E">
        <w:t>As of 30 April 202</w:t>
      </w:r>
      <w:r w:rsidR="004E1952" w:rsidRPr="0099555E">
        <w:t>3,</w:t>
      </w:r>
      <w:r w:rsidRPr="0099555E">
        <w:t xml:space="preserve"> our accumulated funds in the Commonwealth Bank totalled $16</w:t>
      </w:r>
      <w:r w:rsidR="004E1952" w:rsidRPr="0099555E">
        <w:t>3</w:t>
      </w:r>
      <w:r w:rsidRPr="0099555E">
        <w:t>,</w:t>
      </w:r>
      <w:r w:rsidR="004E1952" w:rsidRPr="0099555E">
        <w:t>113</w:t>
      </w:r>
      <w:r w:rsidRPr="0099555E">
        <w:t>.</w:t>
      </w:r>
      <w:r w:rsidR="004E1952" w:rsidRPr="0099555E">
        <w:t>11</w:t>
      </w:r>
      <w:r w:rsidRPr="0099555E">
        <w:t xml:space="preserve"> ($</w:t>
      </w:r>
      <w:r w:rsidR="004E1952" w:rsidRPr="0099555E">
        <w:t>4,379.99</w:t>
      </w:r>
      <w:r w:rsidRPr="0099555E">
        <w:t xml:space="preserve"> Transaction Account plus $</w:t>
      </w:r>
      <w:r w:rsidR="004E1952" w:rsidRPr="0099555E">
        <w:t>158,733.12</w:t>
      </w:r>
      <w:r w:rsidRPr="0099555E">
        <w:t xml:space="preserve"> Online Saver Account) and balance of the Robertson Fund is $1</w:t>
      </w:r>
      <w:r w:rsidR="004E1952" w:rsidRPr="0099555E">
        <w:t>56</w:t>
      </w:r>
      <w:r w:rsidRPr="0099555E">
        <w:t>,</w:t>
      </w:r>
      <w:r w:rsidR="004E1952" w:rsidRPr="0099555E">
        <w:t>736</w:t>
      </w:r>
      <w:r w:rsidRPr="0099555E">
        <w:t>.00. Note that $13,250 of the Commonwealth Bank account belongs to the RN Robertson Fund based on a previous decision made at the 2009 AGM.</w:t>
      </w:r>
      <w:r w:rsidR="005569BC" w:rsidRPr="0099555E">
        <w:t xml:space="preserve"> The current Honorary Treasurer has only just discovered this </w:t>
      </w:r>
      <w:proofErr w:type="gramStart"/>
      <w:r w:rsidR="005569BC" w:rsidRPr="0099555E">
        <w:t>fact, and</w:t>
      </w:r>
      <w:proofErr w:type="gramEnd"/>
      <w:r w:rsidR="005569BC" w:rsidRPr="0099555E">
        <w:t xml:space="preserve"> will endeavour to transfer these funds within the 2023/24 financial year.</w:t>
      </w:r>
    </w:p>
    <w:p w14:paraId="6D00CFDC" w14:textId="5EBCD9DD" w:rsidR="00F67F65" w:rsidRPr="0099555E" w:rsidRDefault="00F67F65" w:rsidP="0099555E">
      <w:pPr>
        <w:pStyle w:val="Heading2"/>
      </w:pPr>
      <w:r w:rsidRPr="0099555E">
        <w:t>ASPS INCOME</w:t>
      </w:r>
    </w:p>
    <w:p w14:paraId="4A561C1E" w14:textId="71661086" w:rsidR="00CE4234" w:rsidRPr="0099555E" w:rsidRDefault="00CE4234" w:rsidP="0099555E">
      <w:r w:rsidRPr="0099555E">
        <w:t>ASPS has three main sources of income: 1) a proportion of the profits from conferences we support (</w:t>
      </w:r>
      <w:proofErr w:type="spellStart"/>
      <w:r w:rsidRPr="0099555E">
        <w:t>ComBio</w:t>
      </w:r>
      <w:proofErr w:type="spellEnd"/>
      <w:r w:rsidRPr="0099555E">
        <w:t>/ASPS); 2) ASPS membership fees and web-based advertising</w:t>
      </w:r>
      <w:r w:rsidR="00B94A5D">
        <w:t>;</w:t>
      </w:r>
      <w:r w:rsidRPr="0099555E">
        <w:t xml:space="preserve"> and 3) bank interest and donations.</w:t>
      </w:r>
    </w:p>
    <w:p w14:paraId="3DF92D19" w14:textId="3927E3AC" w:rsidR="00CE4234" w:rsidRPr="0099555E" w:rsidRDefault="00CE4234" w:rsidP="0099555E">
      <w:pPr>
        <w:pStyle w:val="Heading3"/>
      </w:pPr>
      <w:proofErr w:type="spellStart"/>
      <w:r w:rsidRPr="0099555E">
        <w:t>ComBio</w:t>
      </w:r>
      <w:proofErr w:type="spellEnd"/>
      <w:r w:rsidRPr="0099555E">
        <w:t xml:space="preserve"> 2022 (Melbourne)</w:t>
      </w:r>
    </w:p>
    <w:p w14:paraId="7BCA53B0" w14:textId="51E8E95A" w:rsidR="00CE4234" w:rsidRPr="0099555E" w:rsidRDefault="00CE4234" w:rsidP="0099555E">
      <w:r w:rsidRPr="0099555E">
        <w:t>This joint conference, spearheaded by the Australian Society of Biochemistry and Molecular Biology (ASBMB), was highly profitable. Within the FY2022/23, we received from ASBMB the long-awaited profits of Combio2018 ($8,182.26) as well as the return of seed funding for ComBio2022 ($8,480). Our share of genuine profits for ComBio2022 ($18,207.78) was received in May 2023, and will thus be recorded in</w:t>
      </w:r>
      <w:r w:rsidR="00160B87">
        <w:t xml:space="preserve"> the</w:t>
      </w:r>
      <w:r w:rsidRPr="0099555E">
        <w:t xml:space="preserve"> next </w:t>
      </w:r>
      <w:r w:rsidR="00160B87">
        <w:t xml:space="preserve">financial </w:t>
      </w:r>
      <w:r w:rsidRPr="0099555E">
        <w:t>year.</w:t>
      </w:r>
    </w:p>
    <w:p w14:paraId="4EC80191" w14:textId="003F4DF9" w:rsidR="00CE4234" w:rsidRPr="0099555E" w:rsidRDefault="00CE4234" w:rsidP="0099555E">
      <w:pPr>
        <w:pStyle w:val="Heading3"/>
      </w:pPr>
      <w:r w:rsidRPr="0099555E">
        <w:t>Membership income</w:t>
      </w:r>
      <w:r w:rsidR="00B94A5D">
        <w:t xml:space="preserve"> and advertising income</w:t>
      </w:r>
    </w:p>
    <w:p w14:paraId="6DCB14CD" w14:textId="5362D76E" w:rsidR="00CE4234" w:rsidRPr="0099555E" w:rsidRDefault="00CE4234" w:rsidP="0099555E">
      <w:r w:rsidRPr="0099555E">
        <w:t>We received $18,910 in membership income this year, slightly less than the previous year ($21,360). Such fluctuation is normal, especially as student m</w:t>
      </w:r>
      <w:r w:rsidR="004C221A" w:rsidRPr="0099555E">
        <w:t>e</w:t>
      </w:r>
      <w:r w:rsidRPr="0099555E">
        <w:t>mbership last</w:t>
      </w:r>
      <w:r w:rsidR="004C221A" w:rsidRPr="0099555E">
        <w:t xml:space="preserve">s </w:t>
      </w:r>
      <w:r w:rsidRPr="0099555E">
        <w:t>for two years and there was a significant boost in student numbers for the 2021 hybrid conference. Our membership breakdown is as follows:</w:t>
      </w:r>
    </w:p>
    <w:tbl>
      <w:tblPr>
        <w:tblStyle w:val="TableGrid"/>
        <w:tblW w:w="10079" w:type="dxa"/>
        <w:tblLook w:val="04A0" w:firstRow="1" w:lastRow="0" w:firstColumn="1" w:lastColumn="0" w:noHBand="0" w:noVBand="1"/>
      </w:tblPr>
      <w:tblGrid>
        <w:gridCol w:w="1892"/>
        <w:gridCol w:w="873"/>
        <w:gridCol w:w="873"/>
        <w:gridCol w:w="873"/>
        <w:gridCol w:w="873"/>
        <w:gridCol w:w="873"/>
        <w:gridCol w:w="873"/>
        <w:gridCol w:w="873"/>
        <w:gridCol w:w="692"/>
        <w:gridCol w:w="692"/>
        <w:gridCol w:w="692"/>
      </w:tblGrid>
      <w:tr w:rsidR="00CE4234" w:rsidRPr="0099555E" w14:paraId="58D77F80" w14:textId="77777777" w:rsidTr="00CE4234">
        <w:trPr>
          <w:trHeight w:val="483"/>
        </w:trPr>
        <w:tc>
          <w:tcPr>
            <w:tcW w:w="1892" w:type="dxa"/>
            <w:shd w:val="clear" w:color="auto" w:fill="F2F2F2" w:themeFill="background1" w:themeFillShade="F2"/>
            <w:vAlign w:val="center"/>
          </w:tcPr>
          <w:p w14:paraId="05DE3718" w14:textId="77777777" w:rsidR="00CE4234" w:rsidRPr="0099555E" w:rsidRDefault="00CE4234" w:rsidP="0099555E">
            <w:pPr>
              <w:spacing w:after="0"/>
              <w:rPr>
                <w:b/>
                <w:bCs/>
                <w:lang w:val="en-AU"/>
              </w:rPr>
            </w:pPr>
            <w:r w:rsidRPr="0099555E">
              <w:rPr>
                <w:b/>
                <w:bCs/>
                <w:lang w:val="en-AU"/>
              </w:rPr>
              <w:t>Category</w:t>
            </w:r>
          </w:p>
        </w:tc>
        <w:tc>
          <w:tcPr>
            <w:tcW w:w="873" w:type="dxa"/>
            <w:vAlign w:val="center"/>
          </w:tcPr>
          <w:p w14:paraId="5E5FD4E8" w14:textId="2784A5B2" w:rsidR="00CE4234" w:rsidRPr="0099555E" w:rsidRDefault="00CE4234" w:rsidP="0099555E">
            <w:pPr>
              <w:spacing w:after="0"/>
              <w:rPr>
                <w:b/>
                <w:bCs/>
                <w:lang w:val="en-AU"/>
              </w:rPr>
            </w:pPr>
            <w:r w:rsidRPr="0099555E">
              <w:rPr>
                <w:b/>
                <w:bCs/>
                <w:lang w:val="en-AU"/>
              </w:rPr>
              <w:t>22/23*</w:t>
            </w:r>
          </w:p>
        </w:tc>
        <w:tc>
          <w:tcPr>
            <w:tcW w:w="873" w:type="dxa"/>
            <w:vAlign w:val="center"/>
          </w:tcPr>
          <w:p w14:paraId="38F43E81" w14:textId="763B5CB0" w:rsidR="00CE4234" w:rsidRPr="0099555E" w:rsidRDefault="00CE4234" w:rsidP="0099555E">
            <w:pPr>
              <w:spacing w:after="0"/>
              <w:rPr>
                <w:b/>
                <w:bCs/>
                <w:lang w:val="en-AU"/>
              </w:rPr>
            </w:pPr>
            <w:r w:rsidRPr="0099555E">
              <w:rPr>
                <w:b/>
                <w:bCs/>
                <w:lang w:val="en-AU"/>
              </w:rPr>
              <w:t>21/22</w:t>
            </w:r>
          </w:p>
        </w:tc>
        <w:tc>
          <w:tcPr>
            <w:tcW w:w="873" w:type="dxa"/>
            <w:vAlign w:val="center"/>
          </w:tcPr>
          <w:p w14:paraId="0D0EA9D7" w14:textId="6132F0F8" w:rsidR="00CE4234" w:rsidRPr="0099555E" w:rsidRDefault="00CE4234" w:rsidP="0099555E">
            <w:pPr>
              <w:spacing w:after="0"/>
              <w:rPr>
                <w:b/>
                <w:bCs/>
                <w:lang w:val="en-AU"/>
              </w:rPr>
            </w:pPr>
            <w:r w:rsidRPr="0099555E">
              <w:rPr>
                <w:b/>
                <w:bCs/>
                <w:lang w:val="en-AU"/>
              </w:rPr>
              <w:t>20/21</w:t>
            </w:r>
          </w:p>
        </w:tc>
        <w:tc>
          <w:tcPr>
            <w:tcW w:w="873" w:type="dxa"/>
            <w:vAlign w:val="center"/>
          </w:tcPr>
          <w:p w14:paraId="069661D2" w14:textId="77777777" w:rsidR="00CE4234" w:rsidRPr="0099555E" w:rsidRDefault="00CE4234" w:rsidP="0099555E">
            <w:pPr>
              <w:spacing w:after="0"/>
              <w:rPr>
                <w:b/>
                <w:bCs/>
                <w:lang w:val="en-AU"/>
              </w:rPr>
            </w:pPr>
            <w:r w:rsidRPr="0099555E">
              <w:rPr>
                <w:b/>
                <w:bCs/>
                <w:lang w:val="en-AU"/>
              </w:rPr>
              <w:t>19/20</w:t>
            </w:r>
          </w:p>
        </w:tc>
        <w:tc>
          <w:tcPr>
            <w:tcW w:w="873" w:type="dxa"/>
            <w:vAlign w:val="center"/>
          </w:tcPr>
          <w:p w14:paraId="5233580E" w14:textId="77777777" w:rsidR="00CE4234" w:rsidRPr="0099555E" w:rsidRDefault="00CE4234" w:rsidP="0099555E">
            <w:pPr>
              <w:spacing w:after="0"/>
              <w:rPr>
                <w:b/>
                <w:bCs/>
                <w:lang w:val="en-AU"/>
              </w:rPr>
            </w:pPr>
            <w:r w:rsidRPr="0099555E">
              <w:rPr>
                <w:b/>
                <w:bCs/>
                <w:lang w:val="en-AU"/>
              </w:rPr>
              <w:t>18/19</w:t>
            </w:r>
          </w:p>
        </w:tc>
        <w:tc>
          <w:tcPr>
            <w:tcW w:w="873" w:type="dxa"/>
            <w:vAlign w:val="center"/>
          </w:tcPr>
          <w:p w14:paraId="16C5F5B8" w14:textId="77777777" w:rsidR="00CE4234" w:rsidRPr="0099555E" w:rsidRDefault="00CE4234" w:rsidP="0099555E">
            <w:pPr>
              <w:spacing w:after="0"/>
              <w:rPr>
                <w:b/>
                <w:bCs/>
                <w:lang w:val="en-AU"/>
              </w:rPr>
            </w:pPr>
            <w:r w:rsidRPr="0099555E">
              <w:rPr>
                <w:b/>
                <w:bCs/>
                <w:lang w:val="en-AU"/>
              </w:rPr>
              <w:t>17/18</w:t>
            </w:r>
          </w:p>
        </w:tc>
        <w:tc>
          <w:tcPr>
            <w:tcW w:w="873" w:type="dxa"/>
            <w:vAlign w:val="center"/>
          </w:tcPr>
          <w:p w14:paraId="43704526" w14:textId="77777777" w:rsidR="00CE4234" w:rsidRPr="0099555E" w:rsidRDefault="00CE4234" w:rsidP="0099555E">
            <w:pPr>
              <w:spacing w:after="0"/>
              <w:rPr>
                <w:b/>
                <w:bCs/>
                <w:lang w:val="en-AU"/>
              </w:rPr>
            </w:pPr>
            <w:r w:rsidRPr="0099555E">
              <w:rPr>
                <w:b/>
                <w:bCs/>
                <w:lang w:val="en-AU"/>
              </w:rPr>
              <w:t>16/17</w:t>
            </w:r>
          </w:p>
        </w:tc>
        <w:tc>
          <w:tcPr>
            <w:tcW w:w="692" w:type="dxa"/>
            <w:tcMar>
              <w:left w:w="28" w:type="dxa"/>
              <w:right w:w="28" w:type="dxa"/>
            </w:tcMar>
            <w:vAlign w:val="center"/>
          </w:tcPr>
          <w:p w14:paraId="45198A36" w14:textId="77777777" w:rsidR="00CE4234" w:rsidRPr="0099555E" w:rsidRDefault="00CE4234" w:rsidP="0099555E">
            <w:pPr>
              <w:spacing w:after="0"/>
              <w:rPr>
                <w:b/>
                <w:bCs/>
                <w:lang w:val="en-AU"/>
              </w:rPr>
            </w:pPr>
            <w:r w:rsidRPr="0099555E">
              <w:rPr>
                <w:b/>
                <w:bCs/>
                <w:lang w:val="en-AU"/>
              </w:rPr>
              <w:t>15/16</w:t>
            </w:r>
          </w:p>
        </w:tc>
        <w:tc>
          <w:tcPr>
            <w:tcW w:w="692" w:type="dxa"/>
            <w:tcMar>
              <w:left w:w="28" w:type="dxa"/>
              <w:right w:w="28" w:type="dxa"/>
            </w:tcMar>
            <w:vAlign w:val="center"/>
          </w:tcPr>
          <w:p w14:paraId="7FD8176D" w14:textId="77777777" w:rsidR="00CE4234" w:rsidRPr="0099555E" w:rsidRDefault="00CE4234" w:rsidP="0099555E">
            <w:pPr>
              <w:spacing w:after="0"/>
              <w:rPr>
                <w:b/>
                <w:bCs/>
                <w:lang w:val="en-AU"/>
              </w:rPr>
            </w:pPr>
            <w:r w:rsidRPr="0099555E">
              <w:rPr>
                <w:b/>
                <w:bCs/>
                <w:lang w:val="en-AU"/>
              </w:rPr>
              <w:t>14/15</w:t>
            </w:r>
          </w:p>
        </w:tc>
        <w:tc>
          <w:tcPr>
            <w:tcW w:w="692" w:type="dxa"/>
            <w:tcMar>
              <w:left w:w="28" w:type="dxa"/>
              <w:right w:w="28" w:type="dxa"/>
            </w:tcMar>
            <w:vAlign w:val="center"/>
          </w:tcPr>
          <w:p w14:paraId="20079A53" w14:textId="77777777" w:rsidR="00CE4234" w:rsidRPr="0099555E" w:rsidRDefault="00CE4234" w:rsidP="0099555E">
            <w:pPr>
              <w:spacing w:after="0"/>
              <w:rPr>
                <w:b/>
                <w:bCs/>
                <w:lang w:val="en-AU"/>
              </w:rPr>
            </w:pPr>
            <w:r w:rsidRPr="0099555E">
              <w:rPr>
                <w:b/>
                <w:bCs/>
                <w:lang w:val="en-AU"/>
              </w:rPr>
              <w:t>13/14</w:t>
            </w:r>
          </w:p>
        </w:tc>
      </w:tr>
      <w:tr w:rsidR="00CE4234" w:rsidRPr="0099555E" w14:paraId="51B9F929" w14:textId="77777777" w:rsidTr="00CE4234">
        <w:trPr>
          <w:trHeight w:val="362"/>
        </w:trPr>
        <w:tc>
          <w:tcPr>
            <w:tcW w:w="1892" w:type="dxa"/>
            <w:shd w:val="clear" w:color="auto" w:fill="F2F2F2" w:themeFill="background1" w:themeFillShade="F2"/>
            <w:vAlign w:val="center"/>
          </w:tcPr>
          <w:p w14:paraId="5E4344AA" w14:textId="234FA934" w:rsidR="00CE4234" w:rsidRPr="0099555E" w:rsidRDefault="0005796F" w:rsidP="0099555E">
            <w:pPr>
              <w:spacing w:after="0"/>
              <w:rPr>
                <w:lang w:val="en-AU"/>
              </w:rPr>
            </w:pPr>
            <w:r w:rsidRPr="0099555E">
              <w:rPr>
                <w:lang w:val="en-AU"/>
              </w:rPr>
              <w:t>**</w:t>
            </w:r>
            <w:r w:rsidR="00CE4234" w:rsidRPr="0099555E">
              <w:rPr>
                <w:lang w:val="en-AU"/>
              </w:rPr>
              <w:t>Ordinary</w:t>
            </w:r>
          </w:p>
        </w:tc>
        <w:tc>
          <w:tcPr>
            <w:tcW w:w="873" w:type="dxa"/>
            <w:vAlign w:val="center"/>
          </w:tcPr>
          <w:p w14:paraId="35AEE243" w14:textId="3199EA90" w:rsidR="00CE4234" w:rsidRPr="0099555E" w:rsidRDefault="00CE4234" w:rsidP="0099555E">
            <w:pPr>
              <w:spacing w:after="0"/>
              <w:rPr>
                <w:lang w:val="en-AU"/>
              </w:rPr>
            </w:pPr>
            <w:r w:rsidRPr="0099555E">
              <w:rPr>
                <w:lang w:val="en-AU"/>
              </w:rPr>
              <w:t>167</w:t>
            </w:r>
          </w:p>
        </w:tc>
        <w:tc>
          <w:tcPr>
            <w:tcW w:w="873" w:type="dxa"/>
            <w:vAlign w:val="center"/>
          </w:tcPr>
          <w:p w14:paraId="55AE0E90" w14:textId="79150006" w:rsidR="00CE4234" w:rsidRPr="0099555E" w:rsidRDefault="00CE4234" w:rsidP="0099555E">
            <w:pPr>
              <w:spacing w:after="0"/>
              <w:rPr>
                <w:lang w:val="en-AU"/>
              </w:rPr>
            </w:pPr>
            <w:r w:rsidRPr="0099555E">
              <w:rPr>
                <w:lang w:val="en-AU"/>
              </w:rPr>
              <w:t>151</w:t>
            </w:r>
          </w:p>
        </w:tc>
        <w:tc>
          <w:tcPr>
            <w:tcW w:w="873" w:type="dxa"/>
            <w:vAlign w:val="center"/>
          </w:tcPr>
          <w:p w14:paraId="11719E3B" w14:textId="77777777" w:rsidR="00CE4234" w:rsidRPr="0099555E" w:rsidRDefault="00CE4234" w:rsidP="0099555E">
            <w:pPr>
              <w:spacing w:after="0"/>
              <w:rPr>
                <w:lang w:val="en-AU"/>
              </w:rPr>
            </w:pPr>
            <w:r w:rsidRPr="0099555E">
              <w:rPr>
                <w:lang w:val="en-AU"/>
              </w:rPr>
              <w:t>142</w:t>
            </w:r>
          </w:p>
        </w:tc>
        <w:tc>
          <w:tcPr>
            <w:tcW w:w="873" w:type="dxa"/>
            <w:vAlign w:val="center"/>
          </w:tcPr>
          <w:p w14:paraId="4ECFF0D5" w14:textId="77777777" w:rsidR="00CE4234" w:rsidRPr="0099555E" w:rsidRDefault="00CE4234" w:rsidP="0099555E">
            <w:pPr>
              <w:spacing w:after="0"/>
              <w:rPr>
                <w:lang w:val="en-AU"/>
              </w:rPr>
            </w:pPr>
            <w:r w:rsidRPr="0099555E">
              <w:rPr>
                <w:lang w:val="en-AU"/>
              </w:rPr>
              <w:t>96</w:t>
            </w:r>
          </w:p>
        </w:tc>
        <w:tc>
          <w:tcPr>
            <w:tcW w:w="873" w:type="dxa"/>
            <w:vAlign w:val="center"/>
          </w:tcPr>
          <w:p w14:paraId="1A570C73" w14:textId="77777777" w:rsidR="00CE4234" w:rsidRPr="0099555E" w:rsidRDefault="00CE4234" w:rsidP="0099555E">
            <w:pPr>
              <w:spacing w:after="0"/>
              <w:rPr>
                <w:lang w:val="en-AU"/>
              </w:rPr>
            </w:pPr>
            <w:r w:rsidRPr="0099555E">
              <w:rPr>
                <w:lang w:val="en-AU"/>
              </w:rPr>
              <w:t>127</w:t>
            </w:r>
          </w:p>
        </w:tc>
        <w:tc>
          <w:tcPr>
            <w:tcW w:w="873" w:type="dxa"/>
            <w:vAlign w:val="center"/>
          </w:tcPr>
          <w:p w14:paraId="18854EED" w14:textId="77777777" w:rsidR="00CE4234" w:rsidRPr="0099555E" w:rsidRDefault="00CE4234" w:rsidP="0099555E">
            <w:pPr>
              <w:spacing w:after="0"/>
              <w:rPr>
                <w:lang w:val="en-AU"/>
              </w:rPr>
            </w:pPr>
            <w:r w:rsidRPr="0099555E">
              <w:rPr>
                <w:lang w:val="en-AU"/>
              </w:rPr>
              <w:t>132</w:t>
            </w:r>
          </w:p>
        </w:tc>
        <w:tc>
          <w:tcPr>
            <w:tcW w:w="873" w:type="dxa"/>
            <w:tcMar>
              <w:left w:w="28" w:type="dxa"/>
              <w:right w:w="85" w:type="dxa"/>
            </w:tcMar>
            <w:vAlign w:val="center"/>
          </w:tcPr>
          <w:p w14:paraId="4D31A7F3" w14:textId="77777777" w:rsidR="00CE4234" w:rsidRPr="0099555E" w:rsidRDefault="00CE4234" w:rsidP="0099555E">
            <w:pPr>
              <w:spacing w:after="0"/>
              <w:rPr>
                <w:lang w:val="en-AU"/>
              </w:rPr>
            </w:pPr>
            <w:r w:rsidRPr="0099555E">
              <w:rPr>
                <w:lang w:val="en-AU"/>
              </w:rPr>
              <w:t>127</w:t>
            </w:r>
          </w:p>
        </w:tc>
        <w:tc>
          <w:tcPr>
            <w:tcW w:w="692" w:type="dxa"/>
            <w:tcMar>
              <w:left w:w="28" w:type="dxa"/>
              <w:right w:w="85" w:type="dxa"/>
            </w:tcMar>
            <w:vAlign w:val="center"/>
          </w:tcPr>
          <w:p w14:paraId="0504E48E" w14:textId="77777777" w:rsidR="00CE4234" w:rsidRPr="0099555E" w:rsidRDefault="00CE4234" w:rsidP="0099555E">
            <w:pPr>
              <w:spacing w:after="0"/>
              <w:rPr>
                <w:lang w:val="en-AU"/>
              </w:rPr>
            </w:pPr>
            <w:r w:rsidRPr="0099555E">
              <w:rPr>
                <w:lang w:val="en-AU"/>
              </w:rPr>
              <w:t>237</w:t>
            </w:r>
          </w:p>
        </w:tc>
        <w:tc>
          <w:tcPr>
            <w:tcW w:w="692" w:type="dxa"/>
            <w:tcMar>
              <w:left w:w="28" w:type="dxa"/>
              <w:right w:w="85" w:type="dxa"/>
            </w:tcMar>
            <w:vAlign w:val="center"/>
          </w:tcPr>
          <w:p w14:paraId="27C0D5CF" w14:textId="77777777" w:rsidR="00CE4234" w:rsidRPr="0099555E" w:rsidRDefault="00CE4234" w:rsidP="0099555E">
            <w:pPr>
              <w:spacing w:after="0"/>
              <w:rPr>
                <w:lang w:val="en-AU"/>
              </w:rPr>
            </w:pPr>
            <w:r w:rsidRPr="0099555E">
              <w:rPr>
                <w:lang w:val="en-AU"/>
              </w:rPr>
              <w:t>107</w:t>
            </w:r>
          </w:p>
        </w:tc>
        <w:tc>
          <w:tcPr>
            <w:tcW w:w="692" w:type="dxa"/>
            <w:tcMar>
              <w:left w:w="28" w:type="dxa"/>
              <w:right w:w="85" w:type="dxa"/>
            </w:tcMar>
            <w:vAlign w:val="center"/>
          </w:tcPr>
          <w:p w14:paraId="2BD71ED9" w14:textId="77777777" w:rsidR="00CE4234" w:rsidRPr="0099555E" w:rsidRDefault="00CE4234" w:rsidP="0099555E">
            <w:pPr>
              <w:spacing w:after="0"/>
              <w:rPr>
                <w:lang w:val="en-AU"/>
              </w:rPr>
            </w:pPr>
            <w:r w:rsidRPr="0099555E">
              <w:rPr>
                <w:lang w:val="en-AU"/>
              </w:rPr>
              <w:t>101</w:t>
            </w:r>
          </w:p>
        </w:tc>
      </w:tr>
      <w:tr w:rsidR="00CE4234" w:rsidRPr="0099555E" w14:paraId="70A9732B" w14:textId="77777777" w:rsidTr="00CE4234">
        <w:trPr>
          <w:trHeight w:val="362"/>
        </w:trPr>
        <w:tc>
          <w:tcPr>
            <w:tcW w:w="1892" w:type="dxa"/>
            <w:shd w:val="clear" w:color="auto" w:fill="F2F2F2" w:themeFill="background1" w:themeFillShade="F2"/>
            <w:vAlign w:val="center"/>
          </w:tcPr>
          <w:p w14:paraId="669881F8" w14:textId="212BE9CD" w:rsidR="00CE4234" w:rsidRPr="0099555E" w:rsidRDefault="0005796F" w:rsidP="0099555E">
            <w:pPr>
              <w:spacing w:after="0"/>
              <w:rPr>
                <w:lang w:val="en-AU"/>
              </w:rPr>
            </w:pPr>
            <w:r w:rsidRPr="0099555E">
              <w:rPr>
                <w:lang w:val="en-AU"/>
              </w:rPr>
              <w:t>**</w:t>
            </w:r>
            <w:r w:rsidR="00CE4234" w:rsidRPr="0099555E">
              <w:rPr>
                <w:lang w:val="en-AU"/>
              </w:rPr>
              <w:t>Student</w:t>
            </w:r>
          </w:p>
        </w:tc>
        <w:tc>
          <w:tcPr>
            <w:tcW w:w="873" w:type="dxa"/>
            <w:vAlign w:val="center"/>
          </w:tcPr>
          <w:p w14:paraId="13818D6A" w14:textId="283153ED" w:rsidR="00CE4234" w:rsidRPr="0099555E" w:rsidRDefault="00CE4234" w:rsidP="0099555E">
            <w:pPr>
              <w:spacing w:after="0"/>
              <w:rPr>
                <w:lang w:val="en-AU"/>
              </w:rPr>
            </w:pPr>
            <w:r w:rsidRPr="0099555E">
              <w:rPr>
                <w:lang w:val="en-AU"/>
              </w:rPr>
              <w:t>173</w:t>
            </w:r>
          </w:p>
        </w:tc>
        <w:tc>
          <w:tcPr>
            <w:tcW w:w="873" w:type="dxa"/>
            <w:vAlign w:val="center"/>
          </w:tcPr>
          <w:p w14:paraId="03BEEC67" w14:textId="4BF5105D" w:rsidR="00CE4234" w:rsidRPr="0099555E" w:rsidRDefault="00CE4234" w:rsidP="0099555E">
            <w:pPr>
              <w:spacing w:after="0"/>
              <w:rPr>
                <w:lang w:val="en-AU"/>
              </w:rPr>
            </w:pPr>
            <w:r w:rsidRPr="0099555E">
              <w:rPr>
                <w:lang w:val="en-AU"/>
              </w:rPr>
              <w:t>193</w:t>
            </w:r>
          </w:p>
        </w:tc>
        <w:tc>
          <w:tcPr>
            <w:tcW w:w="873" w:type="dxa"/>
            <w:vAlign w:val="center"/>
          </w:tcPr>
          <w:p w14:paraId="4E7FCEB5" w14:textId="77777777" w:rsidR="00CE4234" w:rsidRPr="0099555E" w:rsidRDefault="00CE4234" w:rsidP="0099555E">
            <w:pPr>
              <w:spacing w:after="0"/>
              <w:rPr>
                <w:lang w:val="en-AU"/>
              </w:rPr>
            </w:pPr>
            <w:r w:rsidRPr="0099555E">
              <w:rPr>
                <w:lang w:val="en-AU"/>
              </w:rPr>
              <w:t>171</w:t>
            </w:r>
          </w:p>
        </w:tc>
        <w:tc>
          <w:tcPr>
            <w:tcW w:w="873" w:type="dxa"/>
            <w:vAlign w:val="center"/>
          </w:tcPr>
          <w:p w14:paraId="1829E4CD" w14:textId="77777777" w:rsidR="00CE4234" w:rsidRPr="0099555E" w:rsidRDefault="00CE4234" w:rsidP="0099555E">
            <w:pPr>
              <w:spacing w:after="0"/>
              <w:rPr>
                <w:lang w:val="en-AU"/>
              </w:rPr>
            </w:pPr>
            <w:r w:rsidRPr="0099555E">
              <w:rPr>
                <w:lang w:val="en-AU"/>
              </w:rPr>
              <w:t>84</w:t>
            </w:r>
          </w:p>
        </w:tc>
        <w:tc>
          <w:tcPr>
            <w:tcW w:w="873" w:type="dxa"/>
            <w:vAlign w:val="center"/>
          </w:tcPr>
          <w:p w14:paraId="1A3B474B" w14:textId="77777777" w:rsidR="00CE4234" w:rsidRPr="0099555E" w:rsidRDefault="00CE4234" w:rsidP="0099555E">
            <w:pPr>
              <w:spacing w:after="0"/>
              <w:rPr>
                <w:lang w:val="en-AU"/>
              </w:rPr>
            </w:pPr>
            <w:r w:rsidRPr="0099555E">
              <w:rPr>
                <w:lang w:val="en-AU"/>
              </w:rPr>
              <w:t>118</w:t>
            </w:r>
          </w:p>
        </w:tc>
        <w:tc>
          <w:tcPr>
            <w:tcW w:w="873" w:type="dxa"/>
            <w:vAlign w:val="center"/>
          </w:tcPr>
          <w:p w14:paraId="6F2AD246" w14:textId="77777777" w:rsidR="00CE4234" w:rsidRPr="0099555E" w:rsidRDefault="00CE4234" w:rsidP="0099555E">
            <w:pPr>
              <w:spacing w:after="0"/>
              <w:rPr>
                <w:lang w:val="en-AU"/>
              </w:rPr>
            </w:pPr>
            <w:r w:rsidRPr="0099555E">
              <w:rPr>
                <w:lang w:val="en-AU"/>
              </w:rPr>
              <w:t>201</w:t>
            </w:r>
          </w:p>
        </w:tc>
        <w:tc>
          <w:tcPr>
            <w:tcW w:w="873" w:type="dxa"/>
            <w:tcMar>
              <w:left w:w="28" w:type="dxa"/>
              <w:right w:w="85" w:type="dxa"/>
            </w:tcMar>
            <w:vAlign w:val="center"/>
          </w:tcPr>
          <w:p w14:paraId="58D1B2F3" w14:textId="77777777" w:rsidR="00CE4234" w:rsidRPr="0099555E" w:rsidRDefault="00CE4234" w:rsidP="0099555E">
            <w:pPr>
              <w:spacing w:after="0"/>
              <w:rPr>
                <w:lang w:val="en-AU"/>
              </w:rPr>
            </w:pPr>
            <w:r w:rsidRPr="0099555E">
              <w:rPr>
                <w:lang w:val="en-AU"/>
              </w:rPr>
              <w:t>224</w:t>
            </w:r>
          </w:p>
        </w:tc>
        <w:tc>
          <w:tcPr>
            <w:tcW w:w="692" w:type="dxa"/>
            <w:tcMar>
              <w:left w:w="28" w:type="dxa"/>
              <w:right w:w="85" w:type="dxa"/>
            </w:tcMar>
            <w:vAlign w:val="center"/>
          </w:tcPr>
          <w:p w14:paraId="7FCB074A" w14:textId="77777777" w:rsidR="00CE4234" w:rsidRPr="0099555E" w:rsidRDefault="00CE4234" w:rsidP="0099555E">
            <w:pPr>
              <w:spacing w:after="0"/>
              <w:rPr>
                <w:lang w:val="en-AU"/>
              </w:rPr>
            </w:pPr>
            <w:r w:rsidRPr="0099555E">
              <w:rPr>
                <w:lang w:val="en-AU"/>
              </w:rPr>
              <w:t>292</w:t>
            </w:r>
          </w:p>
        </w:tc>
        <w:tc>
          <w:tcPr>
            <w:tcW w:w="692" w:type="dxa"/>
            <w:tcMar>
              <w:left w:w="28" w:type="dxa"/>
              <w:right w:w="85" w:type="dxa"/>
            </w:tcMar>
            <w:vAlign w:val="center"/>
          </w:tcPr>
          <w:p w14:paraId="2AE39B1E" w14:textId="77777777" w:rsidR="00CE4234" w:rsidRPr="0099555E" w:rsidRDefault="00CE4234" w:rsidP="0099555E">
            <w:pPr>
              <w:spacing w:after="0"/>
              <w:rPr>
                <w:lang w:val="en-AU"/>
              </w:rPr>
            </w:pPr>
            <w:r w:rsidRPr="0099555E">
              <w:rPr>
                <w:lang w:val="en-AU"/>
              </w:rPr>
              <w:t>345</w:t>
            </w:r>
          </w:p>
        </w:tc>
        <w:tc>
          <w:tcPr>
            <w:tcW w:w="692" w:type="dxa"/>
            <w:tcMar>
              <w:left w:w="28" w:type="dxa"/>
              <w:right w:w="85" w:type="dxa"/>
            </w:tcMar>
            <w:vAlign w:val="center"/>
          </w:tcPr>
          <w:p w14:paraId="78C2A3B0" w14:textId="77777777" w:rsidR="00CE4234" w:rsidRPr="0099555E" w:rsidRDefault="00CE4234" w:rsidP="0099555E">
            <w:pPr>
              <w:spacing w:after="0"/>
              <w:rPr>
                <w:lang w:val="en-AU"/>
              </w:rPr>
            </w:pPr>
            <w:r w:rsidRPr="0099555E">
              <w:rPr>
                <w:lang w:val="en-AU"/>
              </w:rPr>
              <w:t>229</w:t>
            </w:r>
          </w:p>
        </w:tc>
      </w:tr>
      <w:tr w:rsidR="00CE4234" w:rsidRPr="0099555E" w14:paraId="2533E573" w14:textId="77777777" w:rsidTr="00CE4234">
        <w:trPr>
          <w:trHeight w:val="362"/>
        </w:trPr>
        <w:tc>
          <w:tcPr>
            <w:tcW w:w="1892" w:type="dxa"/>
            <w:shd w:val="clear" w:color="auto" w:fill="F2F2F2" w:themeFill="background1" w:themeFillShade="F2"/>
            <w:vAlign w:val="center"/>
          </w:tcPr>
          <w:p w14:paraId="2FB43F58" w14:textId="77777777" w:rsidR="00CE4234" w:rsidRPr="0099555E" w:rsidRDefault="00CE4234" w:rsidP="0099555E">
            <w:pPr>
              <w:spacing w:after="0"/>
              <w:rPr>
                <w:lang w:val="en-AU"/>
              </w:rPr>
            </w:pPr>
            <w:r w:rsidRPr="0099555E">
              <w:rPr>
                <w:lang w:val="en-AU"/>
              </w:rPr>
              <w:t>Retired</w:t>
            </w:r>
          </w:p>
        </w:tc>
        <w:tc>
          <w:tcPr>
            <w:tcW w:w="873" w:type="dxa"/>
            <w:vAlign w:val="center"/>
          </w:tcPr>
          <w:p w14:paraId="7D88F92C" w14:textId="0E52AB38" w:rsidR="00CE4234" w:rsidRPr="0099555E" w:rsidRDefault="00CE4234" w:rsidP="0099555E">
            <w:pPr>
              <w:spacing w:after="0"/>
              <w:rPr>
                <w:lang w:val="en-AU"/>
              </w:rPr>
            </w:pPr>
            <w:r w:rsidRPr="0099555E">
              <w:rPr>
                <w:lang w:val="en-AU"/>
              </w:rPr>
              <w:t>26</w:t>
            </w:r>
          </w:p>
        </w:tc>
        <w:tc>
          <w:tcPr>
            <w:tcW w:w="873" w:type="dxa"/>
            <w:vAlign w:val="center"/>
          </w:tcPr>
          <w:p w14:paraId="30EEDD13" w14:textId="7D032AAC" w:rsidR="00CE4234" w:rsidRPr="0099555E" w:rsidRDefault="00CE4234" w:rsidP="0099555E">
            <w:pPr>
              <w:spacing w:after="0"/>
              <w:rPr>
                <w:lang w:val="en-AU"/>
              </w:rPr>
            </w:pPr>
            <w:r w:rsidRPr="0099555E">
              <w:rPr>
                <w:lang w:val="en-AU"/>
              </w:rPr>
              <w:t>11</w:t>
            </w:r>
          </w:p>
        </w:tc>
        <w:tc>
          <w:tcPr>
            <w:tcW w:w="873" w:type="dxa"/>
            <w:vAlign w:val="center"/>
          </w:tcPr>
          <w:p w14:paraId="56A3EE07" w14:textId="77777777" w:rsidR="00CE4234" w:rsidRPr="0099555E" w:rsidRDefault="00CE4234" w:rsidP="0099555E">
            <w:pPr>
              <w:spacing w:after="0"/>
              <w:rPr>
                <w:lang w:val="en-AU"/>
              </w:rPr>
            </w:pPr>
            <w:r w:rsidRPr="0099555E">
              <w:rPr>
                <w:lang w:val="en-AU"/>
              </w:rPr>
              <w:t>15</w:t>
            </w:r>
          </w:p>
        </w:tc>
        <w:tc>
          <w:tcPr>
            <w:tcW w:w="873" w:type="dxa"/>
            <w:vAlign w:val="center"/>
          </w:tcPr>
          <w:p w14:paraId="69EF715C" w14:textId="77777777" w:rsidR="00CE4234" w:rsidRPr="0099555E" w:rsidRDefault="00CE4234" w:rsidP="0099555E">
            <w:pPr>
              <w:spacing w:after="0"/>
              <w:rPr>
                <w:lang w:val="en-AU"/>
              </w:rPr>
            </w:pPr>
            <w:r w:rsidRPr="0099555E">
              <w:rPr>
                <w:lang w:val="en-AU"/>
              </w:rPr>
              <w:t>40</w:t>
            </w:r>
          </w:p>
        </w:tc>
        <w:tc>
          <w:tcPr>
            <w:tcW w:w="873" w:type="dxa"/>
            <w:vAlign w:val="center"/>
          </w:tcPr>
          <w:p w14:paraId="21DCC910" w14:textId="77777777" w:rsidR="00CE4234" w:rsidRPr="0099555E" w:rsidRDefault="00CE4234" w:rsidP="0099555E">
            <w:pPr>
              <w:spacing w:after="0"/>
              <w:rPr>
                <w:lang w:val="en-AU"/>
              </w:rPr>
            </w:pPr>
            <w:r w:rsidRPr="0099555E">
              <w:rPr>
                <w:lang w:val="en-AU"/>
              </w:rPr>
              <w:t>7</w:t>
            </w:r>
          </w:p>
        </w:tc>
        <w:tc>
          <w:tcPr>
            <w:tcW w:w="873" w:type="dxa"/>
            <w:vAlign w:val="center"/>
          </w:tcPr>
          <w:p w14:paraId="2E1A4135" w14:textId="77777777" w:rsidR="00CE4234" w:rsidRPr="0099555E" w:rsidRDefault="00CE4234" w:rsidP="0099555E">
            <w:pPr>
              <w:spacing w:after="0"/>
              <w:rPr>
                <w:lang w:val="en-AU"/>
              </w:rPr>
            </w:pPr>
            <w:r w:rsidRPr="0099555E">
              <w:rPr>
                <w:lang w:val="en-AU"/>
              </w:rPr>
              <w:t>31</w:t>
            </w:r>
          </w:p>
        </w:tc>
        <w:tc>
          <w:tcPr>
            <w:tcW w:w="873" w:type="dxa"/>
            <w:tcMar>
              <w:left w:w="28" w:type="dxa"/>
              <w:right w:w="85" w:type="dxa"/>
            </w:tcMar>
            <w:vAlign w:val="center"/>
          </w:tcPr>
          <w:p w14:paraId="4044524A" w14:textId="77777777" w:rsidR="00CE4234" w:rsidRPr="0099555E" w:rsidRDefault="00CE4234" w:rsidP="0099555E">
            <w:pPr>
              <w:spacing w:after="0"/>
              <w:rPr>
                <w:lang w:val="en-AU"/>
              </w:rPr>
            </w:pPr>
            <w:r w:rsidRPr="0099555E">
              <w:rPr>
                <w:lang w:val="en-AU"/>
              </w:rPr>
              <w:t>31</w:t>
            </w:r>
          </w:p>
        </w:tc>
        <w:tc>
          <w:tcPr>
            <w:tcW w:w="692" w:type="dxa"/>
            <w:tcMar>
              <w:left w:w="28" w:type="dxa"/>
              <w:right w:w="85" w:type="dxa"/>
            </w:tcMar>
            <w:vAlign w:val="center"/>
          </w:tcPr>
          <w:p w14:paraId="1815B807" w14:textId="77777777" w:rsidR="00CE4234" w:rsidRPr="0099555E" w:rsidRDefault="00CE4234" w:rsidP="0099555E">
            <w:pPr>
              <w:spacing w:after="0"/>
              <w:rPr>
                <w:lang w:val="en-AU"/>
              </w:rPr>
            </w:pPr>
            <w:r w:rsidRPr="0099555E">
              <w:rPr>
                <w:lang w:val="en-AU"/>
              </w:rPr>
              <w:t>35</w:t>
            </w:r>
          </w:p>
        </w:tc>
        <w:tc>
          <w:tcPr>
            <w:tcW w:w="692" w:type="dxa"/>
            <w:tcMar>
              <w:left w:w="28" w:type="dxa"/>
              <w:right w:w="85" w:type="dxa"/>
            </w:tcMar>
            <w:vAlign w:val="center"/>
          </w:tcPr>
          <w:p w14:paraId="1441A18A" w14:textId="77777777" w:rsidR="00CE4234" w:rsidRPr="0099555E" w:rsidRDefault="00CE4234" w:rsidP="0099555E">
            <w:pPr>
              <w:spacing w:after="0"/>
              <w:rPr>
                <w:lang w:val="en-AU"/>
              </w:rPr>
            </w:pPr>
            <w:r w:rsidRPr="0099555E">
              <w:rPr>
                <w:lang w:val="en-AU"/>
              </w:rPr>
              <w:t>36</w:t>
            </w:r>
          </w:p>
        </w:tc>
        <w:tc>
          <w:tcPr>
            <w:tcW w:w="692" w:type="dxa"/>
            <w:tcMar>
              <w:left w:w="28" w:type="dxa"/>
              <w:right w:w="85" w:type="dxa"/>
            </w:tcMar>
            <w:vAlign w:val="center"/>
          </w:tcPr>
          <w:p w14:paraId="34DED911" w14:textId="77777777" w:rsidR="00CE4234" w:rsidRPr="0099555E" w:rsidRDefault="00CE4234" w:rsidP="0099555E">
            <w:pPr>
              <w:spacing w:after="0"/>
              <w:rPr>
                <w:lang w:val="en-AU"/>
              </w:rPr>
            </w:pPr>
            <w:r w:rsidRPr="0099555E">
              <w:rPr>
                <w:lang w:val="en-AU"/>
              </w:rPr>
              <w:t>28</w:t>
            </w:r>
          </w:p>
        </w:tc>
      </w:tr>
      <w:tr w:rsidR="00CE4234" w:rsidRPr="0099555E" w14:paraId="0833055C" w14:textId="77777777" w:rsidTr="00CE4234">
        <w:trPr>
          <w:trHeight w:val="362"/>
        </w:trPr>
        <w:tc>
          <w:tcPr>
            <w:tcW w:w="1892" w:type="dxa"/>
            <w:shd w:val="clear" w:color="auto" w:fill="F2F2F2" w:themeFill="background1" w:themeFillShade="F2"/>
            <w:vAlign w:val="center"/>
          </w:tcPr>
          <w:p w14:paraId="52F645A4" w14:textId="77777777" w:rsidR="00CE4234" w:rsidRPr="0099555E" w:rsidRDefault="00CE4234" w:rsidP="0099555E">
            <w:pPr>
              <w:spacing w:after="0"/>
              <w:rPr>
                <w:lang w:val="en-AU"/>
              </w:rPr>
            </w:pPr>
            <w:r w:rsidRPr="0099555E">
              <w:rPr>
                <w:lang w:val="en-AU"/>
              </w:rPr>
              <w:t>Corresponding</w:t>
            </w:r>
          </w:p>
        </w:tc>
        <w:tc>
          <w:tcPr>
            <w:tcW w:w="873" w:type="dxa"/>
            <w:vAlign w:val="center"/>
          </w:tcPr>
          <w:p w14:paraId="3FEB7AE5" w14:textId="6EE58DC7" w:rsidR="00CE4234" w:rsidRPr="0099555E" w:rsidRDefault="00CE4234" w:rsidP="0099555E">
            <w:pPr>
              <w:spacing w:after="0"/>
              <w:rPr>
                <w:lang w:val="en-AU"/>
              </w:rPr>
            </w:pPr>
            <w:r w:rsidRPr="0099555E">
              <w:rPr>
                <w:lang w:val="en-AU"/>
              </w:rPr>
              <w:t>24</w:t>
            </w:r>
          </w:p>
        </w:tc>
        <w:tc>
          <w:tcPr>
            <w:tcW w:w="873" w:type="dxa"/>
            <w:vAlign w:val="center"/>
          </w:tcPr>
          <w:p w14:paraId="4CDA8EC0" w14:textId="1701ECF0" w:rsidR="00CE4234" w:rsidRPr="0099555E" w:rsidRDefault="00CE4234" w:rsidP="0099555E">
            <w:pPr>
              <w:spacing w:after="0"/>
              <w:rPr>
                <w:lang w:val="en-AU"/>
              </w:rPr>
            </w:pPr>
            <w:r w:rsidRPr="0099555E">
              <w:rPr>
                <w:lang w:val="en-AU"/>
              </w:rPr>
              <w:t>12</w:t>
            </w:r>
          </w:p>
        </w:tc>
        <w:tc>
          <w:tcPr>
            <w:tcW w:w="873" w:type="dxa"/>
            <w:vAlign w:val="center"/>
          </w:tcPr>
          <w:p w14:paraId="77A34459" w14:textId="77777777" w:rsidR="00CE4234" w:rsidRPr="0099555E" w:rsidRDefault="00CE4234" w:rsidP="0099555E">
            <w:pPr>
              <w:spacing w:after="0"/>
              <w:rPr>
                <w:lang w:val="en-AU"/>
              </w:rPr>
            </w:pPr>
            <w:r w:rsidRPr="0099555E">
              <w:rPr>
                <w:lang w:val="en-AU"/>
              </w:rPr>
              <w:t>12</w:t>
            </w:r>
          </w:p>
        </w:tc>
        <w:tc>
          <w:tcPr>
            <w:tcW w:w="873" w:type="dxa"/>
            <w:vAlign w:val="center"/>
          </w:tcPr>
          <w:p w14:paraId="4D81FA0D" w14:textId="77777777" w:rsidR="00CE4234" w:rsidRPr="0099555E" w:rsidRDefault="00CE4234" w:rsidP="0099555E">
            <w:pPr>
              <w:spacing w:after="0"/>
              <w:rPr>
                <w:lang w:val="en-AU"/>
              </w:rPr>
            </w:pPr>
            <w:r w:rsidRPr="0099555E">
              <w:rPr>
                <w:lang w:val="en-AU"/>
              </w:rPr>
              <w:t>12</w:t>
            </w:r>
          </w:p>
        </w:tc>
        <w:tc>
          <w:tcPr>
            <w:tcW w:w="873" w:type="dxa"/>
            <w:vAlign w:val="center"/>
          </w:tcPr>
          <w:p w14:paraId="0E6297F9" w14:textId="77777777" w:rsidR="00CE4234" w:rsidRPr="0099555E" w:rsidRDefault="00CE4234" w:rsidP="0099555E">
            <w:pPr>
              <w:spacing w:after="0"/>
              <w:rPr>
                <w:lang w:val="en-AU"/>
              </w:rPr>
            </w:pPr>
            <w:r w:rsidRPr="0099555E">
              <w:rPr>
                <w:lang w:val="en-AU"/>
              </w:rPr>
              <w:t>12</w:t>
            </w:r>
          </w:p>
        </w:tc>
        <w:tc>
          <w:tcPr>
            <w:tcW w:w="873" w:type="dxa"/>
            <w:vAlign w:val="center"/>
          </w:tcPr>
          <w:p w14:paraId="776CD75D" w14:textId="77777777" w:rsidR="00CE4234" w:rsidRPr="0099555E" w:rsidRDefault="00CE4234" w:rsidP="0099555E">
            <w:pPr>
              <w:spacing w:after="0"/>
              <w:rPr>
                <w:lang w:val="en-AU"/>
              </w:rPr>
            </w:pPr>
            <w:r w:rsidRPr="0099555E">
              <w:rPr>
                <w:lang w:val="en-AU"/>
              </w:rPr>
              <w:t>13</w:t>
            </w:r>
          </w:p>
        </w:tc>
        <w:tc>
          <w:tcPr>
            <w:tcW w:w="873" w:type="dxa"/>
            <w:tcMar>
              <w:left w:w="28" w:type="dxa"/>
              <w:right w:w="85" w:type="dxa"/>
            </w:tcMar>
            <w:vAlign w:val="center"/>
          </w:tcPr>
          <w:p w14:paraId="258EF58F" w14:textId="77777777" w:rsidR="00CE4234" w:rsidRPr="0099555E" w:rsidRDefault="00CE4234" w:rsidP="0099555E">
            <w:pPr>
              <w:spacing w:after="0"/>
              <w:rPr>
                <w:lang w:val="en-AU"/>
              </w:rPr>
            </w:pPr>
            <w:r w:rsidRPr="0099555E">
              <w:rPr>
                <w:lang w:val="en-AU"/>
              </w:rPr>
              <w:t>12</w:t>
            </w:r>
          </w:p>
        </w:tc>
        <w:tc>
          <w:tcPr>
            <w:tcW w:w="692" w:type="dxa"/>
            <w:tcMar>
              <w:left w:w="28" w:type="dxa"/>
              <w:right w:w="85" w:type="dxa"/>
            </w:tcMar>
            <w:vAlign w:val="center"/>
          </w:tcPr>
          <w:p w14:paraId="786F42A4" w14:textId="77777777" w:rsidR="00CE4234" w:rsidRPr="0099555E" w:rsidRDefault="00CE4234" w:rsidP="0099555E">
            <w:pPr>
              <w:spacing w:after="0"/>
              <w:rPr>
                <w:lang w:val="en-AU"/>
              </w:rPr>
            </w:pPr>
            <w:r w:rsidRPr="0099555E">
              <w:rPr>
                <w:lang w:val="en-AU"/>
              </w:rPr>
              <w:t>12</w:t>
            </w:r>
          </w:p>
        </w:tc>
        <w:tc>
          <w:tcPr>
            <w:tcW w:w="692" w:type="dxa"/>
            <w:tcMar>
              <w:left w:w="28" w:type="dxa"/>
              <w:right w:w="85" w:type="dxa"/>
            </w:tcMar>
            <w:vAlign w:val="center"/>
          </w:tcPr>
          <w:p w14:paraId="5F5C89A8" w14:textId="77777777" w:rsidR="00CE4234" w:rsidRPr="0099555E" w:rsidRDefault="00CE4234" w:rsidP="0099555E">
            <w:pPr>
              <w:spacing w:after="0"/>
              <w:rPr>
                <w:lang w:val="en-AU"/>
              </w:rPr>
            </w:pPr>
            <w:r w:rsidRPr="0099555E">
              <w:rPr>
                <w:lang w:val="en-AU"/>
              </w:rPr>
              <w:t>6</w:t>
            </w:r>
          </w:p>
        </w:tc>
        <w:tc>
          <w:tcPr>
            <w:tcW w:w="692" w:type="dxa"/>
            <w:tcMar>
              <w:left w:w="28" w:type="dxa"/>
              <w:right w:w="85" w:type="dxa"/>
            </w:tcMar>
            <w:vAlign w:val="center"/>
          </w:tcPr>
          <w:p w14:paraId="7C19EA70" w14:textId="77777777" w:rsidR="00CE4234" w:rsidRPr="0099555E" w:rsidRDefault="00CE4234" w:rsidP="0099555E">
            <w:pPr>
              <w:spacing w:after="0"/>
              <w:rPr>
                <w:lang w:val="en-AU"/>
              </w:rPr>
            </w:pPr>
            <w:r w:rsidRPr="0099555E">
              <w:rPr>
                <w:lang w:val="en-AU"/>
              </w:rPr>
              <w:t>10</w:t>
            </w:r>
          </w:p>
        </w:tc>
      </w:tr>
      <w:tr w:rsidR="00CE4234" w:rsidRPr="0099555E" w14:paraId="264D40E1" w14:textId="77777777" w:rsidTr="00CE4234">
        <w:trPr>
          <w:trHeight w:val="362"/>
        </w:trPr>
        <w:tc>
          <w:tcPr>
            <w:tcW w:w="1892" w:type="dxa"/>
            <w:shd w:val="clear" w:color="auto" w:fill="F2F2F2" w:themeFill="background1" w:themeFillShade="F2"/>
            <w:vAlign w:val="center"/>
          </w:tcPr>
          <w:p w14:paraId="286141B0" w14:textId="77777777" w:rsidR="00CE4234" w:rsidRPr="0099555E" w:rsidRDefault="00CE4234" w:rsidP="0099555E">
            <w:pPr>
              <w:spacing w:after="0"/>
              <w:rPr>
                <w:lang w:val="en-AU"/>
              </w:rPr>
            </w:pPr>
            <w:r w:rsidRPr="0099555E">
              <w:rPr>
                <w:lang w:val="en-AU"/>
              </w:rPr>
              <w:t>Life</w:t>
            </w:r>
          </w:p>
        </w:tc>
        <w:tc>
          <w:tcPr>
            <w:tcW w:w="873" w:type="dxa"/>
            <w:vAlign w:val="center"/>
          </w:tcPr>
          <w:p w14:paraId="1DB4AB1E" w14:textId="12294495" w:rsidR="00CE4234" w:rsidRPr="0099555E" w:rsidRDefault="00CE4234" w:rsidP="0099555E">
            <w:pPr>
              <w:spacing w:after="0"/>
              <w:rPr>
                <w:lang w:val="en-AU"/>
              </w:rPr>
            </w:pPr>
            <w:r w:rsidRPr="0099555E">
              <w:rPr>
                <w:lang w:val="en-AU"/>
              </w:rPr>
              <w:t>17</w:t>
            </w:r>
          </w:p>
        </w:tc>
        <w:tc>
          <w:tcPr>
            <w:tcW w:w="873" w:type="dxa"/>
            <w:vAlign w:val="center"/>
          </w:tcPr>
          <w:p w14:paraId="3621B74F" w14:textId="0E95A3AC" w:rsidR="00CE4234" w:rsidRPr="0099555E" w:rsidRDefault="00CE4234" w:rsidP="0099555E">
            <w:pPr>
              <w:spacing w:after="0"/>
              <w:rPr>
                <w:lang w:val="en-AU"/>
              </w:rPr>
            </w:pPr>
            <w:r w:rsidRPr="0099555E">
              <w:rPr>
                <w:lang w:val="en-AU"/>
              </w:rPr>
              <w:t>15</w:t>
            </w:r>
          </w:p>
        </w:tc>
        <w:tc>
          <w:tcPr>
            <w:tcW w:w="873" w:type="dxa"/>
            <w:vAlign w:val="center"/>
          </w:tcPr>
          <w:p w14:paraId="46821848" w14:textId="77777777" w:rsidR="00CE4234" w:rsidRPr="0099555E" w:rsidRDefault="00CE4234" w:rsidP="0099555E">
            <w:pPr>
              <w:spacing w:after="0"/>
              <w:rPr>
                <w:lang w:val="en-AU"/>
              </w:rPr>
            </w:pPr>
            <w:r w:rsidRPr="0099555E">
              <w:rPr>
                <w:lang w:val="en-AU"/>
              </w:rPr>
              <w:t>7</w:t>
            </w:r>
          </w:p>
        </w:tc>
        <w:tc>
          <w:tcPr>
            <w:tcW w:w="873" w:type="dxa"/>
            <w:vAlign w:val="center"/>
          </w:tcPr>
          <w:p w14:paraId="07EA600C" w14:textId="77777777" w:rsidR="00CE4234" w:rsidRPr="0099555E" w:rsidRDefault="00CE4234" w:rsidP="0099555E">
            <w:pPr>
              <w:spacing w:after="0"/>
              <w:rPr>
                <w:lang w:val="en-AU"/>
              </w:rPr>
            </w:pPr>
            <w:r w:rsidRPr="0099555E">
              <w:rPr>
                <w:lang w:val="en-AU"/>
              </w:rPr>
              <w:t>8</w:t>
            </w:r>
          </w:p>
        </w:tc>
        <w:tc>
          <w:tcPr>
            <w:tcW w:w="873" w:type="dxa"/>
            <w:vAlign w:val="center"/>
          </w:tcPr>
          <w:p w14:paraId="45735053" w14:textId="77777777" w:rsidR="00CE4234" w:rsidRPr="0099555E" w:rsidRDefault="00CE4234" w:rsidP="0099555E">
            <w:pPr>
              <w:spacing w:after="0"/>
              <w:rPr>
                <w:lang w:val="en-AU"/>
              </w:rPr>
            </w:pPr>
            <w:r w:rsidRPr="0099555E">
              <w:rPr>
                <w:lang w:val="en-AU"/>
              </w:rPr>
              <w:t>7</w:t>
            </w:r>
          </w:p>
        </w:tc>
        <w:tc>
          <w:tcPr>
            <w:tcW w:w="873" w:type="dxa"/>
            <w:vAlign w:val="center"/>
          </w:tcPr>
          <w:p w14:paraId="73DD612F" w14:textId="77777777" w:rsidR="00CE4234" w:rsidRPr="0099555E" w:rsidRDefault="00CE4234" w:rsidP="0099555E">
            <w:pPr>
              <w:spacing w:after="0"/>
              <w:rPr>
                <w:lang w:val="en-AU"/>
              </w:rPr>
            </w:pPr>
            <w:r w:rsidRPr="0099555E">
              <w:rPr>
                <w:lang w:val="en-AU"/>
              </w:rPr>
              <w:t>6</w:t>
            </w:r>
          </w:p>
        </w:tc>
        <w:tc>
          <w:tcPr>
            <w:tcW w:w="873" w:type="dxa"/>
            <w:tcMar>
              <w:left w:w="28" w:type="dxa"/>
              <w:right w:w="85" w:type="dxa"/>
            </w:tcMar>
            <w:vAlign w:val="center"/>
          </w:tcPr>
          <w:p w14:paraId="0EE62A89" w14:textId="77777777" w:rsidR="00CE4234" w:rsidRPr="0099555E" w:rsidRDefault="00CE4234" w:rsidP="0099555E">
            <w:pPr>
              <w:spacing w:after="0"/>
              <w:rPr>
                <w:lang w:val="en-AU"/>
              </w:rPr>
            </w:pPr>
            <w:r w:rsidRPr="0099555E">
              <w:rPr>
                <w:lang w:val="en-AU"/>
              </w:rPr>
              <w:t>6</w:t>
            </w:r>
          </w:p>
        </w:tc>
        <w:tc>
          <w:tcPr>
            <w:tcW w:w="692" w:type="dxa"/>
            <w:tcMar>
              <w:left w:w="28" w:type="dxa"/>
              <w:right w:w="85" w:type="dxa"/>
            </w:tcMar>
            <w:vAlign w:val="center"/>
          </w:tcPr>
          <w:p w14:paraId="2EFA70CF" w14:textId="77777777" w:rsidR="00CE4234" w:rsidRPr="0099555E" w:rsidRDefault="00CE4234" w:rsidP="0099555E">
            <w:pPr>
              <w:spacing w:after="0"/>
              <w:rPr>
                <w:lang w:val="en-AU"/>
              </w:rPr>
            </w:pPr>
            <w:r w:rsidRPr="0099555E">
              <w:rPr>
                <w:lang w:val="en-AU"/>
              </w:rPr>
              <w:t>6</w:t>
            </w:r>
          </w:p>
        </w:tc>
        <w:tc>
          <w:tcPr>
            <w:tcW w:w="692" w:type="dxa"/>
            <w:tcMar>
              <w:left w:w="28" w:type="dxa"/>
              <w:right w:w="85" w:type="dxa"/>
            </w:tcMar>
            <w:vAlign w:val="center"/>
          </w:tcPr>
          <w:p w14:paraId="58C68107" w14:textId="77777777" w:rsidR="00CE4234" w:rsidRPr="0099555E" w:rsidRDefault="00CE4234" w:rsidP="0099555E">
            <w:pPr>
              <w:spacing w:after="0"/>
              <w:rPr>
                <w:lang w:val="en-AU"/>
              </w:rPr>
            </w:pPr>
            <w:r w:rsidRPr="0099555E">
              <w:rPr>
                <w:lang w:val="en-AU"/>
              </w:rPr>
              <w:t>7</w:t>
            </w:r>
          </w:p>
        </w:tc>
        <w:tc>
          <w:tcPr>
            <w:tcW w:w="692" w:type="dxa"/>
            <w:tcMar>
              <w:left w:w="28" w:type="dxa"/>
              <w:right w:w="85" w:type="dxa"/>
            </w:tcMar>
            <w:vAlign w:val="center"/>
          </w:tcPr>
          <w:p w14:paraId="5250BC7D" w14:textId="77777777" w:rsidR="00CE4234" w:rsidRPr="0099555E" w:rsidRDefault="00CE4234" w:rsidP="0099555E">
            <w:pPr>
              <w:spacing w:after="0"/>
              <w:rPr>
                <w:lang w:val="en-AU"/>
              </w:rPr>
            </w:pPr>
            <w:r w:rsidRPr="0099555E">
              <w:rPr>
                <w:lang w:val="en-AU"/>
              </w:rPr>
              <w:t>7</w:t>
            </w:r>
          </w:p>
        </w:tc>
      </w:tr>
      <w:tr w:rsidR="00CE4234" w:rsidRPr="0099555E" w14:paraId="7423F361" w14:textId="77777777" w:rsidTr="00CE4234">
        <w:trPr>
          <w:trHeight w:val="362"/>
        </w:trPr>
        <w:tc>
          <w:tcPr>
            <w:tcW w:w="1892" w:type="dxa"/>
            <w:shd w:val="clear" w:color="auto" w:fill="F2F2F2" w:themeFill="background1" w:themeFillShade="F2"/>
            <w:vAlign w:val="center"/>
          </w:tcPr>
          <w:p w14:paraId="7CBEC9EE" w14:textId="77777777" w:rsidR="00CE4234" w:rsidRPr="0099555E" w:rsidRDefault="00CE4234" w:rsidP="0099555E">
            <w:pPr>
              <w:spacing w:after="0"/>
              <w:rPr>
                <w:lang w:val="en-AU"/>
              </w:rPr>
            </w:pPr>
            <w:r w:rsidRPr="0099555E">
              <w:rPr>
                <w:lang w:val="en-AU"/>
              </w:rPr>
              <w:t>Gratis</w:t>
            </w:r>
          </w:p>
        </w:tc>
        <w:tc>
          <w:tcPr>
            <w:tcW w:w="873" w:type="dxa"/>
            <w:vAlign w:val="center"/>
          </w:tcPr>
          <w:p w14:paraId="38CA22C1" w14:textId="5438B29D" w:rsidR="00CE4234" w:rsidRPr="0099555E" w:rsidRDefault="00CE4234" w:rsidP="0099555E">
            <w:pPr>
              <w:spacing w:after="0"/>
              <w:rPr>
                <w:lang w:val="en-AU"/>
              </w:rPr>
            </w:pPr>
            <w:r w:rsidRPr="0099555E">
              <w:rPr>
                <w:lang w:val="en-AU"/>
              </w:rPr>
              <w:t>5</w:t>
            </w:r>
          </w:p>
        </w:tc>
        <w:tc>
          <w:tcPr>
            <w:tcW w:w="873" w:type="dxa"/>
            <w:vAlign w:val="center"/>
          </w:tcPr>
          <w:p w14:paraId="3E55B9A1" w14:textId="76767096" w:rsidR="00CE4234" w:rsidRPr="0099555E" w:rsidRDefault="00CE4234" w:rsidP="0099555E">
            <w:pPr>
              <w:spacing w:after="0"/>
              <w:rPr>
                <w:lang w:val="en-AU"/>
              </w:rPr>
            </w:pPr>
            <w:r w:rsidRPr="0099555E">
              <w:rPr>
                <w:lang w:val="en-AU"/>
              </w:rPr>
              <w:t>1</w:t>
            </w:r>
          </w:p>
        </w:tc>
        <w:tc>
          <w:tcPr>
            <w:tcW w:w="873" w:type="dxa"/>
            <w:vAlign w:val="center"/>
          </w:tcPr>
          <w:p w14:paraId="79BF2D3A" w14:textId="77777777" w:rsidR="00CE4234" w:rsidRPr="0099555E" w:rsidRDefault="00CE4234" w:rsidP="0099555E">
            <w:pPr>
              <w:spacing w:after="0"/>
              <w:rPr>
                <w:lang w:val="en-AU"/>
              </w:rPr>
            </w:pPr>
            <w:r w:rsidRPr="0099555E">
              <w:rPr>
                <w:lang w:val="en-AU"/>
              </w:rPr>
              <w:t>3</w:t>
            </w:r>
          </w:p>
        </w:tc>
        <w:tc>
          <w:tcPr>
            <w:tcW w:w="873" w:type="dxa"/>
            <w:vAlign w:val="center"/>
          </w:tcPr>
          <w:p w14:paraId="3636FECF" w14:textId="77777777" w:rsidR="00CE4234" w:rsidRPr="0099555E" w:rsidRDefault="00CE4234" w:rsidP="0099555E">
            <w:pPr>
              <w:spacing w:after="0"/>
              <w:rPr>
                <w:lang w:val="en-AU"/>
              </w:rPr>
            </w:pPr>
            <w:r w:rsidRPr="0099555E">
              <w:rPr>
                <w:lang w:val="en-AU"/>
              </w:rPr>
              <w:t>3</w:t>
            </w:r>
          </w:p>
        </w:tc>
        <w:tc>
          <w:tcPr>
            <w:tcW w:w="873" w:type="dxa"/>
            <w:vAlign w:val="center"/>
          </w:tcPr>
          <w:p w14:paraId="76DA24E3" w14:textId="77777777" w:rsidR="00CE4234" w:rsidRPr="0099555E" w:rsidRDefault="00CE4234" w:rsidP="0099555E">
            <w:pPr>
              <w:spacing w:after="0"/>
              <w:rPr>
                <w:lang w:val="en-AU"/>
              </w:rPr>
            </w:pPr>
            <w:r w:rsidRPr="0099555E">
              <w:rPr>
                <w:lang w:val="en-AU"/>
              </w:rPr>
              <w:t>4</w:t>
            </w:r>
          </w:p>
        </w:tc>
        <w:tc>
          <w:tcPr>
            <w:tcW w:w="873" w:type="dxa"/>
            <w:vAlign w:val="center"/>
          </w:tcPr>
          <w:p w14:paraId="29C60291" w14:textId="77777777" w:rsidR="00CE4234" w:rsidRPr="0099555E" w:rsidRDefault="00CE4234" w:rsidP="0099555E">
            <w:pPr>
              <w:spacing w:after="0"/>
              <w:rPr>
                <w:lang w:val="en-AU"/>
              </w:rPr>
            </w:pPr>
            <w:r w:rsidRPr="0099555E">
              <w:rPr>
                <w:lang w:val="en-AU"/>
              </w:rPr>
              <w:t>2</w:t>
            </w:r>
          </w:p>
        </w:tc>
        <w:tc>
          <w:tcPr>
            <w:tcW w:w="873" w:type="dxa"/>
            <w:tcMar>
              <w:left w:w="28" w:type="dxa"/>
              <w:right w:w="85" w:type="dxa"/>
            </w:tcMar>
            <w:vAlign w:val="center"/>
          </w:tcPr>
          <w:p w14:paraId="2C5D2FF2" w14:textId="77777777" w:rsidR="00CE4234" w:rsidRPr="0099555E" w:rsidRDefault="00CE4234" w:rsidP="0099555E">
            <w:pPr>
              <w:spacing w:after="0"/>
              <w:rPr>
                <w:lang w:val="en-AU"/>
              </w:rPr>
            </w:pPr>
            <w:r w:rsidRPr="0099555E">
              <w:rPr>
                <w:lang w:val="en-AU"/>
              </w:rPr>
              <w:t>2</w:t>
            </w:r>
          </w:p>
        </w:tc>
        <w:tc>
          <w:tcPr>
            <w:tcW w:w="692" w:type="dxa"/>
            <w:tcMar>
              <w:left w:w="28" w:type="dxa"/>
              <w:right w:w="85" w:type="dxa"/>
            </w:tcMar>
            <w:vAlign w:val="center"/>
          </w:tcPr>
          <w:p w14:paraId="0E052465" w14:textId="77777777" w:rsidR="00CE4234" w:rsidRPr="0099555E" w:rsidRDefault="00CE4234" w:rsidP="0099555E">
            <w:pPr>
              <w:spacing w:after="0"/>
              <w:rPr>
                <w:lang w:val="en-AU"/>
              </w:rPr>
            </w:pPr>
            <w:r w:rsidRPr="0099555E">
              <w:rPr>
                <w:lang w:val="en-AU"/>
              </w:rPr>
              <w:t>0</w:t>
            </w:r>
          </w:p>
        </w:tc>
        <w:tc>
          <w:tcPr>
            <w:tcW w:w="692" w:type="dxa"/>
            <w:tcMar>
              <w:left w:w="28" w:type="dxa"/>
              <w:right w:w="85" w:type="dxa"/>
            </w:tcMar>
            <w:vAlign w:val="center"/>
          </w:tcPr>
          <w:p w14:paraId="7651E31F" w14:textId="77777777" w:rsidR="00CE4234" w:rsidRPr="0099555E" w:rsidRDefault="00CE4234" w:rsidP="0099555E">
            <w:pPr>
              <w:spacing w:after="0"/>
              <w:rPr>
                <w:lang w:val="en-AU"/>
              </w:rPr>
            </w:pPr>
            <w:r w:rsidRPr="0099555E">
              <w:rPr>
                <w:lang w:val="en-AU"/>
              </w:rPr>
              <w:t>1</w:t>
            </w:r>
          </w:p>
        </w:tc>
        <w:tc>
          <w:tcPr>
            <w:tcW w:w="692" w:type="dxa"/>
            <w:tcMar>
              <w:left w:w="28" w:type="dxa"/>
              <w:right w:w="85" w:type="dxa"/>
            </w:tcMar>
            <w:vAlign w:val="center"/>
          </w:tcPr>
          <w:p w14:paraId="3E831173" w14:textId="77777777" w:rsidR="00CE4234" w:rsidRPr="0099555E" w:rsidRDefault="00CE4234" w:rsidP="0099555E">
            <w:pPr>
              <w:spacing w:after="0"/>
              <w:rPr>
                <w:lang w:val="en-AU"/>
              </w:rPr>
            </w:pPr>
            <w:r w:rsidRPr="0099555E">
              <w:rPr>
                <w:lang w:val="en-AU"/>
              </w:rPr>
              <w:t>1</w:t>
            </w:r>
          </w:p>
        </w:tc>
      </w:tr>
      <w:tr w:rsidR="00CE4234" w:rsidRPr="0099555E" w14:paraId="3F357D2E" w14:textId="77777777" w:rsidTr="00CE4234">
        <w:trPr>
          <w:trHeight w:val="362"/>
        </w:trPr>
        <w:tc>
          <w:tcPr>
            <w:tcW w:w="1892" w:type="dxa"/>
            <w:shd w:val="clear" w:color="auto" w:fill="F2F2F2" w:themeFill="background1" w:themeFillShade="F2"/>
            <w:vAlign w:val="center"/>
          </w:tcPr>
          <w:p w14:paraId="223CB41F" w14:textId="4019F214" w:rsidR="00CE4234" w:rsidRPr="0099555E" w:rsidRDefault="001A2AE4" w:rsidP="0099555E">
            <w:pPr>
              <w:spacing w:after="0"/>
              <w:rPr>
                <w:lang w:val="en-AU"/>
              </w:rPr>
            </w:pPr>
            <w:r w:rsidRPr="0099555E">
              <w:rPr>
                <w:lang w:val="en-AU"/>
              </w:rPr>
              <w:t>**</w:t>
            </w:r>
            <w:r w:rsidR="00CE4234" w:rsidRPr="0099555E">
              <w:rPr>
                <w:lang w:val="en-AU"/>
              </w:rPr>
              <w:t>Sustaining</w:t>
            </w:r>
          </w:p>
        </w:tc>
        <w:tc>
          <w:tcPr>
            <w:tcW w:w="873" w:type="dxa"/>
            <w:vAlign w:val="center"/>
          </w:tcPr>
          <w:p w14:paraId="7881EB1B" w14:textId="1E290A80" w:rsidR="00CE4234" w:rsidRPr="0099555E" w:rsidRDefault="00CE4234" w:rsidP="0099555E">
            <w:pPr>
              <w:spacing w:after="0"/>
              <w:rPr>
                <w:lang w:val="en-AU"/>
              </w:rPr>
            </w:pPr>
            <w:r w:rsidRPr="0099555E">
              <w:rPr>
                <w:lang w:val="en-AU"/>
              </w:rPr>
              <w:t>0</w:t>
            </w:r>
          </w:p>
        </w:tc>
        <w:tc>
          <w:tcPr>
            <w:tcW w:w="873" w:type="dxa"/>
            <w:vAlign w:val="center"/>
          </w:tcPr>
          <w:p w14:paraId="0DD6C1B0" w14:textId="7CDE5579" w:rsidR="00CE4234" w:rsidRPr="0099555E" w:rsidRDefault="00CE4234" w:rsidP="0099555E">
            <w:pPr>
              <w:spacing w:after="0"/>
              <w:rPr>
                <w:lang w:val="en-AU"/>
              </w:rPr>
            </w:pPr>
            <w:r w:rsidRPr="0099555E">
              <w:rPr>
                <w:lang w:val="en-AU"/>
              </w:rPr>
              <w:t>0</w:t>
            </w:r>
          </w:p>
        </w:tc>
        <w:tc>
          <w:tcPr>
            <w:tcW w:w="873" w:type="dxa"/>
            <w:vAlign w:val="center"/>
          </w:tcPr>
          <w:p w14:paraId="02D127CD" w14:textId="77777777" w:rsidR="00CE4234" w:rsidRPr="0099555E" w:rsidRDefault="00CE4234" w:rsidP="0099555E">
            <w:pPr>
              <w:spacing w:after="0"/>
              <w:rPr>
                <w:lang w:val="en-AU"/>
              </w:rPr>
            </w:pPr>
            <w:r w:rsidRPr="0099555E">
              <w:rPr>
                <w:lang w:val="en-AU"/>
              </w:rPr>
              <w:t>0</w:t>
            </w:r>
          </w:p>
        </w:tc>
        <w:tc>
          <w:tcPr>
            <w:tcW w:w="873" w:type="dxa"/>
            <w:vAlign w:val="center"/>
          </w:tcPr>
          <w:p w14:paraId="2CF0930E" w14:textId="77777777" w:rsidR="00CE4234" w:rsidRPr="0099555E" w:rsidRDefault="00CE4234" w:rsidP="0099555E">
            <w:pPr>
              <w:spacing w:after="0"/>
              <w:rPr>
                <w:lang w:val="en-AU"/>
              </w:rPr>
            </w:pPr>
            <w:r w:rsidRPr="0099555E">
              <w:rPr>
                <w:lang w:val="en-AU"/>
              </w:rPr>
              <w:t>2</w:t>
            </w:r>
          </w:p>
        </w:tc>
        <w:tc>
          <w:tcPr>
            <w:tcW w:w="873" w:type="dxa"/>
            <w:vAlign w:val="center"/>
          </w:tcPr>
          <w:p w14:paraId="244640AE" w14:textId="77777777" w:rsidR="00CE4234" w:rsidRPr="0099555E" w:rsidRDefault="00CE4234" w:rsidP="0099555E">
            <w:pPr>
              <w:spacing w:after="0"/>
              <w:rPr>
                <w:lang w:val="en-AU"/>
              </w:rPr>
            </w:pPr>
            <w:r w:rsidRPr="0099555E">
              <w:rPr>
                <w:lang w:val="en-AU"/>
              </w:rPr>
              <w:t>0</w:t>
            </w:r>
          </w:p>
        </w:tc>
        <w:tc>
          <w:tcPr>
            <w:tcW w:w="873" w:type="dxa"/>
            <w:vAlign w:val="center"/>
          </w:tcPr>
          <w:p w14:paraId="362C0D5B" w14:textId="77777777" w:rsidR="00CE4234" w:rsidRPr="0099555E" w:rsidRDefault="00CE4234" w:rsidP="0099555E">
            <w:pPr>
              <w:spacing w:after="0"/>
              <w:rPr>
                <w:lang w:val="en-AU"/>
              </w:rPr>
            </w:pPr>
            <w:r w:rsidRPr="0099555E">
              <w:rPr>
                <w:lang w:val="en-AU"/>
              </w:rPr>
              <w:t>0</w:t>
            </w:r>
          </w:p>
        </w:tc>
        <w:tc>
          <w:tcPr>
            <w:tcW w:w="873" w:type="dxa"/>
            <w:tcMar>
              <w:left w:w="28" w:type="dxa"/>
              <w:right w:w="85" w:type="dxa"/>
            </w:tcMar>
            <w:vAlign w:val="center"/>
          </w:tcPr>
          <w:p w14:paraId="53093419" w14:textId="77777777" w:rsidR="00CE4234" w:rsidRPr="0099555E" w:rsidRDefault="00CE4234" w:rsidP="0099555E">
            <w:pPr>
              <w:spacing w:after="0"/>
              <w:rPr>
                <w:lang w:val="en-AU"/>
              </w:rPr>
            </w:pPr>
            <w:r w:rsidRPr="0099555E">
              <w:rPr>
                <w:lang w:val="en-AU"/>
              </w:rPr>
              <w:t>0</w:t>
            </w:r>
          </w:p>
        </w:tc>
        <w:tc>
          <w:tcPr>
            <w:tcW w:w="692" w:type="dxa"/>
            <w:tcMar>
              <w:left w:w="28" w:type="dxa"/>
              <w:right w:w="85" w:type="dxa"/>
            </w:tcMar>
            <w:vAlign w:val="center"/>
          </w:tcPr>
          <w:p w14:paraId="23208D55" w14:textId="77777777" w:rsidR="00CE4234" w:rsidRPr="0099555E" w:rsidRDefault="00CE4234" w:rsidP="0099555E">
            <w:pPr>
              <w:spacing w:after="0"/>
              <w:rPr>
                <w:lang w:val="en-AU"/>
              </w:rPr>
            </w:pPr>
            <w:r w:rsidRPr="0099555E">
              <w:rPr>
                <w:lang w:val="en-AU"/>
              </w:rPr>
              <w:t>0</w:t>
            </w:r>
          </w:p>
        </w:tc>
        <w:tc>
          <w:tcPr>
            <w:tcW w:w="692" w:type="dxa"/>
            <w:tcMar>
              <w:left w:w="28" w:type="dxa"/>
              <w:right w:w="85" w:type="dxa"/>
            </w:tcMar>
            <w:vAlign w:val="center"/>
          </w:tcPr>
          <w:p w14:paraId="32DABF16" w14:textId="77777777" w:rsidR="00CE4234" w:rsidRPr="0099555E" w:rsidRDefault="00CE4234" w:rsidP="0099555E">
            <w:pPr>
              <w:spacing w:after="0"/>
              <w:rPr>
                <w:lang w:val="en-AU"/>
              </w:rPr>
            </w:pPr>
            <w:r w:rsidRPr="0099555E">
              <w:rPr>
                <w:lang w:val="en-AU"/>
              </w:rPr>
              <w:t>0</w:t>
            </w:r>
          </w:p>
        </w:tc>
        <w:tc>
          <w:tcPr>
            <w:tcW w:w="692" w:type="dxa"/>
            <w:tcMar>
              <w:left w:w="28" w:type="dxa"/>
              <w:right w:w="85" w:type="dxa"/>
            </w:tcMar>
            <w:vAlign w:val="center"/>
          </w:tcPr>
          <w:p w14:paraId="0CE1743B" w14:textId="77777777" w:rsidR="00CE4234" w:rsidRPr="0099555E" w:rsidRDefault="00CE4234" w:rsidP="0099555E">
            <w:pPr>
              <w:spacing w:after="0"/>
              <w:rPr>
                <w:lang w:val="en-AU"/>
              </w:rPr>
            </w:pPr>
            <w:r w:rsidRPr="0099555E">
              <w:rPr>
                <w:lang w:val="en-AU"/>
              </w:rPr>
              <w:t>0</w:t>
            </w:r>
          </w:p>
        </w:tc>
      </w:tr>
      <w:tr w:rsidR="00CE4234" w:rsidRPr="0099555E" w14:paraId="5750877A" w14:textId="77777777" w:rsidTr="00CE4234">
        <w:trPr>
          <w:trHeight w:val="362"/>
        </w:trPr>
        <w:tc>
          <w:tcPr>
            <w:tcW w:w="1892" w:type="dxa"/>
            <w:shd w:val="clear" w:color="auto" w:fill="F2F2F2" w:themeFill="background1" w:themeFillShade="F2"/>
            <w:vAlign w:val="center"/>
          </w:tcPr>
          <w:p w14:paraId="02102801" w14:textId="56721D2E" w:rsidR="00CE4234" w:rsidRPr="0099555E" w:rsidRDefault="00CE4234" w:rsidP="0099555E">
            <w:pPr>
              <w:spacing w:after="0"/>
              <w:rPr>
                <w:lang w:val="en-AU"/>
              </w:rPr>
            </w:pPr>
            <w:r w:rsidRPr="0099555E">
              <w:rPr>
                <w:lang w:val="en-AU"/>
              </w:rPr>
              <w:t>Total (</w:t>
            </w:r>
            <w:r w:rsidR="0005796F" w:rsidRPr="0099555E">
              <w:rPr>
                <w:lang w:val="en-AU"/>
              </w:rPr>
              <w:t>**</w:t>
            </w:r>
            <w:r w:rsidRPr="0099555E">
              <w:rPr>
                <w:lang w:val="en-AU"/>
              </w:rPr>
              <w:t>financial)</w:t>
            </w:r>
          </w:p>
        </w:tc>
        <w:tc>
          <w:tcPr>
            <w:tcW w:w="873" w:type="dxa"/>
            <w:vAlign w:val="center"/>
          </w:tcPr>
          <w:p w14:paraId="41F6BE9D" w14:textId="57EC2D5A" w:rsidR="00CE4234" w:rsidRPr="0099555E" w:rsidRDefault="0005796F" w:rsidP="0099555E">
            <w:pPr>
              <w:spacing w:after="0"/>
              <w:rPr>
                <w:lang w:val="en-AU"/>
              </w:rPr>
            </w:pPr>
            <w:r w:rsidRPr="0099555E">
              <w:rPr>
                <w:lang w:val="en-AU"/>
              </w:rPr>
              <w:t>340</w:t>
            </w:r>
          </w:p>
        </w:tc>
        <w:tc>
          <w:tcPr>
            <w:tcW w:w="873" w:type="dxa"/>
            <w:vAlign w:val="center"/>
          </w:tcPr>
          <w:p w14:paraId="40DB5D1E" w14:textId="274CA22F" w:rsidR="00CE4234" w:rsidRPr="0099555E" w:rsidRDefault="00CE4234" w:rsidP="0099555E">
            <w:pPr>
              <w:spacing w:after="0"/>
              <w:rPr>
                <w:lang w:val="en-AU"/>
              </w:rPr>
            </w:pPr>
            <w:r w:rsidRPr="0099555E">
              <w:rPr>
                <w:lang w:val="en-AU"/>
              </w:rPr>
              <w:t>344</w:t>
            </w:r>
          </w:p>
        </w:tc>
        <w:tc>
          <w:tcPr>
            <w:tcW w:w="873" w:type="dxa"/>
            <w:vAlign w:val="center"/>
          </w:tcPr>
          <w:p w14:paraId="3A902EEE" w14:textId="77777777" w:rsidR="00CE4234" w:rsidRPr="0099555E" w:rsidRDefault="00CE4234" w:rsidP="0099555E">
            <w:pPr>
              <w:spacing w:after="0"/>
              <w:rPr>
                <w:lang w:val="en-AU"/>
              </w:rPr>
            </w:pPr>
            <w:r w:rsidRPr="0099555E">
              <w:rPr>
                <w:lang w:val="en-AU"/>
              </w:rPr>
              <w:t>313</w:t>
            </w:r>
          </w:p>
        </w:tc>
        <w:tc>
          <w:tcPr>
            <w:tcW w:w="873" w:type="dxa"/>
            <w:vAlign w:val="center"/>
          </w:tcPr>
          <w:p w14:paraId="48652193" w14:textId="77777777" w:rsidR="00CE4234" w:rsidRPr="0099555E" w:rsidRDefault="00CE4234" w:rsidP="0099555E">
            <w:pPr>
              <w:spacing w:after="0"/>
              <w:rPr>
                <w:lang w:val="en-AU"/>
              </w:rPr>
            </w:pPr>
            <w:r w:rsidRPr="0099555E">
              <w:rPr>
                <w:lang w:val="en-AU"/>
              </w:rPr>
              <w:t>182</w:t>
            </w:r>
          </w:p>
        </w:tc>
        <w:tc>
          <w:tcPr>
            <w:tcW w:w="873" w:type="dxa"/>
            <w:vAlign w:val="center"/>
          </w:tcPr>
          <w:p w14:paraId="6AC5D852" w14:textId="77777777" w:rsidR="00CE4234" w:rsidRPr="0099555E" w:rsidRDefault="00CE4234" w:rsidP="0099555E">
            <w:pPr>
              <w:spacing w:after="0"/>
              <w:rPr>
                <w:lang w:val="en-AU"/>
              </w:rPr>
            </w:pPr>
            <w:r w:rsidRPr="0099555E">
              <w:rPr>
                <w:lang w:val="en-AU"/>
              </w:rPr>
              <w:t>275</w:t>
            </w:r>
          </w:p>
        </w:tc>
        <w:tc>
          <w:tcPr>
            <w:tcW w:w="873" w:type="dxa"/>
            <w:vAlign w:val="center"/>
          </w:tcPr>
          <w:p w14:paraId="4308AC6A" w14:textId="77777777" w:rsidR="00CE4234" w:rsidRPr="0099555E" w:rsidRDefault="00CE4234" w:rsidP="0099555E">
            <w:pPr>
              <w:spacing w:after="0"/>
              <w:rPr>
                <w:lang w:val="en-AU"/>
              </w:rPr>
            </w:pPr>
            <w:r w:rsidRPr="0099555E">
              <w:rPr>
                <w:lang w:val="en-AU"/>
              </w:rPr>
              <w:t>385</w:t>
            </w:r>
          </w:p>
        </w:tc>
        <w:tc>
          <w:tcPr>
            <w:tcW w:w="873" w:type="dxa"/>
            <w:tcMar>
              <w:left w:w="28" w:type="dxa"/>
              <w:right w:w="85" w:type="dxa"/>
            </w:tcMar>
            <w:vAlign w:val="center"/>
          </w:tcPr>
          <w:p w14:paraId="3ECB2444" w14:textId="77777777" w:rsidR="00CE4234" w:rsidRPr="0099555E" w:rsidRDefault="00CE4234" w:rsidP="0099555E">
            <w:pPr>
              <w:spacing w:after="0"/>
              <w:rPr>
                <w:lang w:val="en-AU"/>
              </w:rPr>
            </w:pPr>
            <w:r w:rsidRPr="0099555E">
              <w:rPr>
                <w:lang w:val="en-AU"/>
              </w:rPr>
              <w:t>402</w:t>
            </w:r>
          </w:p>
        </w:tc>
        <w:tc>
          <w:tcPr>
            <w:tcW w:w="692" w:type="dxa"/>
            <w:tcMar>
              <w:left w:w="28" w:type="dxa"/>
              <w:right w:w="85" w:type="dxa"/>
            </w:tcMar>
            <w:vAlign w:val="center"/>
          </w:tcPr>
          <w:p w14:paraId="123B22AB" w14:textId="77777777" w:rsidR="00CE4234" w:rsidRPr="0099555E" w:rsidRDefault="00CE4234" w:rsidP="0099555E">
            <w:pPr>
              <w:spacing w:after="0"/>
              <w:rPr>
                <w:lang w:val="en-AU"/>
              </w:rPr>
            </w:pPr>
            <w:r w:rsidRPr="0099555E">
              <w:rPr>
                <w:lang w:val="en-AU"/>
              </w:rPr>
              <w:t>582</w:t>
            </w:r>
          </w:p>
        </w:tc>
        <w:tc>
          <w:tcPr>
            <w:tcW w:w="692" w:type="dxa"/>
            <w:tcMar>
              <w:left w:w="28" w:type="dxa"/>
              <w:right w:w="85" w:type="dxa"/>
            </w:tcMar>
            <w:vAlign w:val="center"/>
          </w:tcPr>
          <w:p w14:paraId="01ADA50F" w14:textId="77777777" w:rsidR="00CE4234" w:rsidRPr="0099555E" w:rsidRDefault="00CE4234" w:rsidP="0099555E">
            <w:pPr>
              <w:spacing w:after="0"/>
              <w:rPr>
                <w:lang w:val="en-AU"/>
              </w:rPr>
            </w:pPr>
            <w:r w:rsidRPr="0099555E">
              <w:rPr>
                <w:lang w:val="en-AU"/>
              </w:rPr>
              <w:t>502</w:t>
            </w:r>
          </w:p>
        </w:tc>
        <w:tc>
          <w:tcPr>
            <w:tcW w:w="692" w:type="dxa"/>
            <w:tcMar>
              <w:left w:w="28" w:type="dxa"/>
              <w:right w:w="85" w:type="dxa"/>
            </w:tcMar>
            <w:vAlign w:val="center"/>
          </w:tcPr>
          <w:p w14:paraId="7DA1E6FE" w14:textId="77777777" w:rsidR="00CE4234" w:rsidRPr="0099555E" w:rsidRDefault="00CE4234" w:rsidP="0099555E">
            <w:pPr>
              <w:spacing w:after="0"/>
              <w:rPr>
                <w:lang w:val="en-AU"/>
              </w:rPr>
            </w:pPr>
            <w:r w:rsidRPr="0099555E">
              <w:rPr>
                <w:lang w:val="en-AU"/>
              </w:rPr>
              <w:t>316</w:t>
            </w:r>
          </w:p>
        </w:tc>
      </w:tr>
    </w:tbl>
    <w:p w14:paraId="0BF6E0E8" w14:textId="17D6C96B" w:rsidR="001A2AE4" w:rsidRPr="0099555E" w:rsidRDefault="00CE4234" w:rsidP="0099555E">
      <w:r w:rsidRPr="0099555E">
        <w:t xml:space="preserve">* As </w:t>
      </w:r>
      <w:proofErr w:type="gramStart"/>
      <w:r w:rsidRPr="0099555E">
        <w:t>at</w:t>
      </w:r>
      <w:proofErr w:type="gramEnd"/>
      <w:r w:rsidRPr="0099555E">
        <w:t xml:space="preserve"> </w:t>
      </w:r>
      <w:r w:rsidR="0005796F" w:rsidRPr="0099555E">
        <w:t xml:space="preserve">10 </w:t>
      </w:r>
      <w:r w:rsidRPr="0099555E">
        <w:t>November 2023</w:t>
      </w:r>
    </w:p>
    <w:p w14:paraId="57279C5C" w14:textId="20AE6C46" w:rsidR="004C221A" w:rsidRDefault="001A2AE4" w:rsidP="0099555E">
      <w:r w:rsidRPr="0099555E">
        <w:t>The current membership fees</w:t>
      </w:r>
      <w:r w:rsidRPr="0099555E">
        <w:t xml:space="preserve"> </w:t>
      </w:r>
      <w:proofErr w:type="gramStart"/>
      <w:r w:rsidRPr="0099555E">
        <w:t>are</w:t>
      </w:r>
      <w:r w:rsidRPr="0099555E">
        <w:t>:</w:t>
      </w:r>
      <w:proofErr w:type="gramEnd"/>
      <w:r w:rsidRPr="0099555E">
        <w:t xml:space="preserve"> ordinary member: 1 year $100.00; 2 years $180.00; 4 years $340.00; student member: 2 years $50.00; sustaining member $</w:t>
      </w:r>
      <w:r w:rsidRPr="0099555E">
        <w:t>6</w:t>
      </w:r>
      <w:r w:rsidRPr="0099555E">
        <w:t>00.00</w:t>
      </w:r>
      <w:r w:rsidRPr="0099555E">
        <w:t xml:space="preserve"> (increased from $300 in 2023)</w:t>
      </w:r>
      <w:r w:rsidRPr="0099555E">
        <w:t>.</w:t>
      </w:r>
    </w:p>
    <w:p w14:paraId="4A7C816F" w14:textId="17468942" w:rsidR="00B94A5D" w:rsidRPr="0099555E" w:rsidRDefault="00B94A5D" w:rsidP="0099555E">
      <w:r>
        <w:lastRenderedPageBreak/>
        <w:t>We received a just $104 in website income from Hogan Media for advertising employment opportunities.</w:t>
      </w:r>
    </w:p>
    <w:p w14:paraId="39505D1B" w14:textId="3AF153C6" w:rsidR="004C221A" w:rsidRPr="0099555E" w:rsidRDefault="004C221A" w:rsidP="0099555E">
      <w:pPr>
        <w:pStyle w:val="Heading3"/>
      </w:pPr>
      <w:r w:rsidRPr="0099555E">
        <w:t>Bank Interest</w:t>
      </w:r>
    </w:p>
    <w:p w14:paraId="06710819" w14:textId="1CA53209" w:rsidR="004C221A" w:rsidRPr="0099555E" w:rsidRDefault="004C221A" w:rsidP="0099555E">
      <w:r w:rsidRPr="0099555E">
        <w:t>After the recent rises in the cash rate, respectable</w:t>
      </w:r>
      <w:r w:rsidRPr="0099555E">
        <w:t xml:space="preserve"> interest is earned in the CBA accounts ($</w:t>
      </w:r>
      <w:r w:rsidRPr="0099555E">
        <w:t>749.48</w:t>
      </w:r>
      <w:r w:rsidRPr="0099555E">
        <w:t>)</w:t>
      </w:r>
      <w:r w:rsidRPr="0099555E">
        <w:t>. However,</w:t>
      </w:r>
      <w:r w:rsidRPr="0099555E">
        <w:t xml:space="preserve"> the RN </w:t>
      </w:r>
      <w:proofErr w:type="spellStart"/>
      <w:r w:rsidRPr="0099555E">
        <w:t>Roberston</w:t>
      </w:r>
      <w:proofErr w:type="spellEnd"/>
      <w:r w:rsidRPr="0099555E">
        <w:t xml:space="preserve"> Fund </w:t>
      </w:r>
      <w:r w:rsidRPr="0099555E">
        <w:t>suffered a loss of $3,328</w:t>
      </w:r>
      <w:r w:rsidRPr="0099555E">
        <w:t xml:space="preserve">. </w:t>
      </w:r>
      <w:r w:rsidRPr="0099555E">
        <w:t>This is small compared to the substantial gains in 2021/22 ($21,310)</w:t>
      </w:r>
      <w:r w:rsidRPr="0099555E">
        <w:t>.</w:t>
      </w:r>
      <w:r w:rsidRPr="0099555E">
        <w:t xml:space="preserve"> Our award budget of $7,000 is likely still appropriate under these conditions.</w:t>
      </w:r>
    </w:p>
    <w:p w14:paraId="2594068A" w14:textId="78266AE0" w:rsidR="0099555E" w:rsidRPr="0099555E" w:rsidRDefault="0099555E" w:rsidP="0099555E">
      <w:pPr>
        <w:pStyle w:val="Heading2"/>
      </w:pPr>
      <w:r w:rsidRPr="0099555E">
        <w:t>EXPENDITURE</w:t>
      </w:r>
    </w:p>
    <w:p w14:paraId="0F790BC2" w14:textId="4EC2EDCC" w:rsidR="0092184F" w:rsidRDefault="0099555E" w:rsidP="0099555E">
      <w:r>
        <w:t xml:space="preserve">Expenditure </w:t>
      </w:r>
      <w:r w:rsidR="0092184F">
        <w:t>has increased to more “normal” levels after the pandemic</w:t>
      </w:r>
      <w:r w:rsidR="00160B87">
        <w:t xml:space="preserve"> as our travel and conference activities have resumed</w:t>
      </w:r>
      <w:r w:rsidR="0092184F">
        <w:t>.</w:t>
      </w:r>
    </w:p>
    <w:p w14:paraId="46FD7DBF" w14:textId="77777777" w:rsidR="0092184F" w:rsidRDefault="0092184F" w:rsidP="0092184F">
      <w:pPr>
        <w:pStyle w:val="Heading3"/>
      </w:pPr>
      <w:r>
        <w:t>Research and Conference Travel Support</w:t>
      </w:r>
    </w:p>
    <w:p w14:paraId="2DF8FB30" w14:textId="5CD2C336" w:rsidR="0099555E" w:rsidRDefault="0092184F" w:rsidP="0092184F">
      <w:r w:rsidRPr="0092184F">
        <w:t xml:space="preserve">Significant outgoings included supporting student travel to ComBio2022 ($10,300), as well as two research travel awards from the RN Robertson Fund in 2022 ($3,600 to Oscar Fung [Uni Melbourne], $3,400 to </w:t>
      </w:r>
      <w:proofErr w:type="spellStart"/>
      <w:r w:rsidRPr="0092184F">
        <w:rPr>
          <w:rFonts w:cs="Arial"/>
        </w:rPr>
        <w:t>Nattiwong</w:t>
      </w:r>
      <w:proofErr w:type="spellEnd"/>
      <w:r w:rsidRPr="0092184F">
        <w:rPr>
          <w:rFonts w:cs="Arial"/>
        </w:rPr>
        <w:t xml:space="preserve"> </w:t>
      </w:r>
      <w:proofErr w:type="spellStart"/>
      <w:r w:rsidRPr="0092184F">
        <w:rPr>
          <w:rFonts w:cs="Arial"/>
        </w:rPr>
        <w:t>Pankasem</w:t>
      </w:r>
      <w:proofErr w:type="spellEnd"/>
      <w:r w:rsidRPr="0092184F">
        <w:t xml:space="preserve"> [UCSD/ANU]). The Society also supported two members to attend Science Meets Parliament ($2,574; A/Prof Jenny Mortimer [</w:t>
      </w:r>
      <w:proofErr w:type="spellStart"/>
      <w:r w:rsidRPr="0092184F">
        <w:t>UoA</w:t>
      </w:r>
      <w:proofErr w:type="spellEnd"/>
      <w:r w:rsidRPr="0092184F">
        <w:t xml:space="preserve">] and Dr Neeta </w:t>
      </w:r>
      <w:proofErr w:type="spellStart"/>
      <w:r w:rsidRPr="0092184F">
        <w:t>Lohani</w:t>
      </w:r>
      <w:proofErr w:type="spellEnd"/>
      <w:r w:rsidRPr="0092184F">
        <w:t xml:space="preserve"> [Uni Melbourne).</w:t>
      </w:r>
    </w:p>
    <w:p w14:paraId="75C0EBF9" w14:textId="39566B1F" w:rsidR="00B94A5D" w:rsidRDefault="00B94A5D" w:rsidP="00B94A5D">
      <w:pPr>
        <w:pStyle w:val="Heading3"/>
      </w:pPr>
      <w:r>
        <w:t>Society Awards</w:t>
      </w:r>
    </w:p>
    <w:p w14:paraId="2FAEC22A" w14:textId="613BBCDE" w:rsidR="00B94A5D" w:rsidRDefault="00B94A5D" w:rsidP="0092184F">
      <w:r>
        <w:t xml:space="preserve">The 2022 Goldacre Award </w:t>
      </w:r>
      <w:r w:rsidR="00160B87">
        <w:t>wa</w:t>
      </w:r>
      <w:r>
        <w:t xml:space="preserve">s </w:t>
      </w:r>
      <w:r w:rsidRPr="00B94A5D">
        <w:t>sponsored by CSIRO Publishing ($2,000). The 202</w:t>
      </w:r>
      <w:r>
        <w:t>2</w:t>
      </w:r>
      <w:r w:rsidRPr="00B94A5D">
        <w:t xml:space="preserve"> Jan Anderson Award was </w:t>
      </w:r>
      <w:proofErr w:type="gramStart"/>
      <w:r>
        <w:t>joint</w:t>
      </w:r>
      <w:r w:rsidRPr="00B94A5D">
        <w:t>-sponsored</w:t>
      </w:r>
      <w:proofErr w:type="gramEnd"/>
      <w:r w:rsidRPr="00B94A5D">
        <w:t xml:space="preserve"> by CSIRO Agriculture and Food ($1,000)</w:t>
      </w:r>
      <w:r>
        <w:t xml:space="preserve">, the ARC </w:t>
      </w:r>
      <w:proofErr w:type="spellStart"/>
      <w:r>
        <w:t>CoE</w:t>
      </w:r>
      <w:proofErr w:type="spellEnd"/>
      <w:r>
        <w:t xml:space="preserve"> for Plant Success ($500), the ARC Training Hub for Crop Protection ($250) and the ARC Training Hub for Future Crops ($250).</w:t>
      </w:r>
      <w:r w:rsidR="00160B87">
        <w:t xml:space="preserve"> Thus, both awards were fully sponsored.</w:t>
      </w:r>
    </w:p>
    <w:p w14:paraId="380037E5" w14:textId="2FB1096A" w:rsidR="00B94A5D" w:rsidRDefault="00B94A5D" w:rsidP="00B94A5D">
      <w:pPr>
        <w:pStyle w:val="Heading3"/>
      </w:pPr>
      <w:r>
        <w:t>ASPS Operating Costs</w:t>
      </w:r>
    </w:p>
    <w:p w14:paraId="7F7F0EEE" w14:textId="6C4E32B2" w:rsidR="00B94A5D" w:rsidRPr="00B94A5D" w:rsidRDefault="00B94A5D" w:rsidP="00B94A5D">
      <w:r w:rsidRPr="00B94A5D">
        <w:t xml:space="preserve">The ASPS website requires continual data management and web servicing. Our website is hosted and maintained by </w:t>
      </w:r>
      <w:proofErr w:type="spellStart"/>
      <w:r w:rsidRPr="00B94A5D">
        <w:t>Conetix</w:t>
      </w:r>
      <w:proofErr w:type="spellEnd"/>
      <w:r w:rsidRPr="00B94A5D">
        <w:t xml:space="preserve"> ($420.00). We also paid $</w:t>
      </w:r>
      <w:r w:rsidR="00CB1DCB">
        <w:t>360</w:t>
      </w:r>
      <w:r w:rsidRPr="00B94A5D">
        <w:t xml:space="preserve"> to </w:t>
      </w:r>
      <w:r w:rsidR="00CB1DCB">
        <w:t>Bearded Friend for a website audit and $275 to Janet Wheeler for website administration costs</w:t>
      </w:r>
      <w:r w:rsidRPr="00B94A5D">
        <w:t>.</w:t>
      </w:r>
    </w:p>
    <w:p w14:paraId="1055DDDB" w14:textId="76A8440F" w:rsidR="00B94A5D" w:rsidRPr="00B94A5D" w:rsidRDefault="00B94A5D" w:rsidP="00B94A5D">
      <w:r w:rsidRPr="00B94A5D">
        <w:t>Bank charges and billing fees were $</w:t>
      </w:r>
      <w:r w:rsidR="004A098B">
        <w:t>451</w:t>
      </w:r>
      <w:r w:rsidRPr="00B94A5D">
        <w:t>.</w:t>
      </w:r>
      <w:r w:rsidR="004A098B">
        <w:t xml:space="preserve"> However, we also suffered a loss of $440 due to merchant chargebacks of two membership fee transactions ($100 and $340). As there was no bank correspondence </w:t>
      </w:r>
      <w:r w:rsidR="00CB1DCB">
        <w:t xml:space="preserve">or notification </w:t>
      </w:r>
      <w:r w:rsidR="004A098B">
        <w:t>relating to these reversed charges, the Treasurer cannot account for them, but he assumes it is due to disputed</w:t>
      </w:r>
      <w:r w:rsidR="00CB1DCB">
        <w:t xml:space="preserve"> (unrecognised)</w:t>
      </w:r>
      <w:r w:rsidR="004A098B">
        <w:t xml:space="preserve"> </w:t>
      </w:r>
      <w:r w:rsidR="00CB1DCB">
        <w:t xml:space="preserve">credit card </w:t>
      </w:r>
      <w:r w:rsidR="004A098B">
        <w:t>transactions.</w:t>
      </w:r>
      <w:r w:rsidR="00CB1DCB">
        <w:t xml:space="preserve"> Such chargebacks appear to be rare events for the Society.</w:t>
      </w:r>
    </w:p>
    <w:p w14:paraId="553CB436" w14:textId="407DEC4E" w:rsidR="00B94A5D" w:rsidRPr="00B94A5D" w:rsidRDefault="00B94A5D" w:rsidP="00B94A5D">
      <w:r w:rsidRPr="00B94A5D">
        <w:t>ASPS is a member of Science and Technology Australia (STA)</w:t>
      </w:r>
      <w:r w:rsidR="00CB1DCB">
        <w:t>,</w:t>
      </w:r>
      <w:r w:rsidRPr="00B94A5D">
        <w:t xml:space="preserve"> which runs Science Meets Parliament</w:t>
      </w:r>
      <w:r w:rsidR="00CB1DCB">
        <w:t>,</w:t>
      </w:r>
      <w:r w:rsidRPr="00B94A5D">
        <w:t xml:space="preserve"> and the Global Plant Council (GPC). These memberships are important for developing networks and highlighting the importance of the plant science in Australia and internationally. We paid $</w:t>
      </w:r>
      <w:r w:rsidR="00CB1DCB">
        <w:t>1391.60</w:t>
      </w:r>
      <w:r w:rsidRPr="00B94A5D">
        <w:t xml:space="preserve"> to STA in 202</w:t>
      </w:r>
      <w:r w:rsidR="00CB1DCB">
        <w:t>2</w:t>
      </w:r>
      <w:r w:rsidRPr="00B94A5D">
        <w:t>/202</w:t>
      </w:r>
      <w:r w:rsidR="00CB1DCB">
        <w:t>3, and $3266.91 to GPC for two years of membership (2021 and 2022)</w:t>
      </w:r>
      <w:r w:rsidRPr="00B94A5D">
        <w:t>.</w:t>
      </w:r>
    </w:p>
    <w:p w14:paraId="17049B91" w14:textId="6BA3AE9E" w:rsidR="00B94A5D" w:rsidRPr="00B94A5D" w:rsidRDefault="00B94A5D" w:rsidP="00B94A5D">
      <w:r w:rsidRPr="00B94A5D">
        <w:t xml:space="preserve">The financial transactions have been audited (Australian Unity) and the Auditor’s report is available for perusal with the financial summary at the AGM. Following the AGM, the Auditor’s report and financial summary will be submitted to the Registrar General’s Office in the ACT by our Public Officer (Prof. John Evans). </w:t>
      </w:r>
    </w:p>
    <w:p w14:paraId="26D0C911" w14:textId="585A3F38" w:rsidR="00B94A5D" w:rsidRPr="00B94A5D" w:rsidRDefault="00B94A5D" w:rsidP="00B94A5D">
      <w:r w:rsidRPr="00B94A5D">
        <w:t xml:space="preserve">In summary, the society’s finances are in good health. The society has generated </w:t>
      </w:r>
      <w:r w:rsidR="00CB1DCB">
        <w:t>a small technical deficit</w:t>
      </w:r>
      <w:r w:rsidRPr="00B94A5D">
        <w:t xml:space="preserve"> in 202</w:t>
      </w:r>
      <w:r w:rsidR="00CB1DCB">
        <w:t>2</w:t>
      </w:r>
      <w:r w:rsidRPr="00B94A5D">
        <w:t>/202</w:t>
      </w:r>
      <w:r w:rsidR="00CB1DCB">
        <w:t>3 that is balanced out by expected strong income in 2023/24</w:t>
      </w:r>
      <w:r w:rsidRPr="00B94A5D">
        <w:t>. This will ensure we can support our activities in 202</w:t>
      </w:r>
      <w:r w:rsidR="00CB1DCB">
        <w:t>3</w:t>
      </w:r>
      <w:r w:rsidRPr="00B94A5D">
        <w:t>/2</w:t>
      </w:r>
      <w:r w:rsidR="00CB1DCB">
        <w:t>4</w:t>
      </w:r>
      <w:r w:rsidRPr="00B94A5D">
        <w:t>, which will include providing student travel awards for two conferences (</w:t>
      </w:r>
      <w:r w:rsidR="00CB1DCB">
        <w:t>ASPS2023 in Hobart</w:t>
      </w:r>
      <w:r w:rsidRPr="00B94A5D">
        <w:t xml:space="preserve">, </w:t>
      </w:r>
      <w:r w:rsidR="00CB1DCB">
        <w:t xml:space="preserve">and </w:t>
      </w:r>
      <w:r w:rsidRPr="00B94A5D">
        <w:t>IPMB</w:t>
      </w:r>
      <w:r w:rsidR="00CB1DCB">
        <w:t>2024</w:t>
      </w:r>
      <w:r w:rsidRPr="00B94A5D">
        <w:t xml:space="preserve"> in Cairns). </w:t>
      </w:r>
    </w:p>
    <w:p w14:paraId="32BE5E47" w14:textId="4B061FE7" w:rsidR="00B94A5D" w:rsidRPr="00B94A5D" w:rsidRDefault="00B94A5D" w:rsidP="00B94A5D">
      <w:r>
        <w:rPr>
          <w:noProof/>
          <w14:ligatures w14:val="standardContextual"/>
        </w:rPr>
        <w:drawing>
          <wp:inline distT="0" distB="0" distL="0" distR="0" wp14:anchorId="4502ABB2" wp14:editId="1833113A">
            <wp:extent cx="900853" cy="276262"/>
            <wp:effectExtent l="0" t="0" r="1270" b="3175"/>
            <wp:docPr id="1316411336" name="Picture 1"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411336" name="Picture 1" descr="A close-up of a blue 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47561" cy="290586"/>
                    </a:xfrm>
                    <a:prstGeom prst="rect">
                      <a:avLst/>
                    </a:prstGeom>
                  </pic:spPr>
                </pic:pic>
              </a:graphicData>
            </a:graphic>
          </wp:inline>
        </w:drawing>
      </w:r>
    </w:p>
    <w:p w14:paraId="73923599" w14:textId="622ECEF8" w:rsidR="00B94A5D" w:rsidRPr="00B94A5D" w:rsidRDefault="00B94A5D" w:rsidP="00B94A5D">
      <w:r>
        <w:t xml:space="preserve">Mark Waters, </w:t>
      </w:r>
      <w:r w:rsidRPr="00B94A5D">
        <w:t>Honorary Treasurer ASPS</w:t>
      </w:r>
    </w:p>
    <w:p w14:paraId="12A7C112" w14:textId="0F8E7D71" w:rsidR="00B94A5D" w:rsidRPr="0092184F" w:rsidRDefault="00B94A5D" w:rsidP="0092184F">
      <w:r>
        <w:t xml:space="preserve">30 November 2023, </w:t>
      </w:r>
      <w:r w:rsidRPr="00B94A5D">
        <w:t>ASPS AGM 202</w:t>
      </w:r>
      <w:r>
        <w:t>3</w:t>
      </w:r>
    </w:p>
    <w:sectPr w:rsidR="00B94A5D" w:rsidRPr="0092184F" w:rsidSect="005B7BC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ource Sans Pro">
    <w:panose1 w:val="020B0503030403020204"/>
    <w:charset w:val="4D"/>
    <w:family w:val="swiss"/>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D635C"/>
    <w:multiLevelType w:val="hybridMultilevel"/>
    <w:tmpl w:val="1F8209B8"/>
    <w:lvl w:ilvl="0" w:tplc="7E5646B0">
      <w:start w:val="2022"/>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369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07D"/>
    <w:rsid w:val="000339B3"/>
    <w:rsid w:val="0005796F"/>
    <w:rsid w:val="000763DE"/>
    <w:rsid w:val="000934FA"/>
    <w:rsid w:val="000A707D"/>
    <w:rsid w:val="000C3ACB"/>
    <w:rsid w:val="00160B87"/>
    <w:rsid w:val="00163F57"/>
    <w:rsid w:val="00176DE3"/>
    <w:rsid w:val="001A2AE4"/>
    <w:rsid w:val="00214CC9"/>
    <w:rsid w:val="002352EF"/>
    <w:rsid w:val="0026063A"/>
    <w:rsid w:val="002C684C"/>
    <w:rsid w:val="0030594E"/>
    <w:rsid w:val="00357116"/>
    <w:rsid w:val="004A098B"/>
    <w:rsid w:val="004A0A61"/>
    <w:rsid w:val="004C221A"/>
    <w:rsid w:val="004C4E59"/>
    <w:rsid w:val="004E1952"/>
    <w:rsid w:val="00520B2C"/>
    <w:rsid w:val="005569BC"/>
    <w:rsid w:val="0056180E"/>
    <w:rsid w:val="00572359"/>
    <w:rsid w:val="005B7BC8"/>
    <w:rsid w:val="00631E9C"/>
    <w:rsid w:val="00637F7E"/>
    <w:rsid w:val="006A3EF2"/>
    <w:rsid w:val="006B6633"/>
    <w:rsid w:val="00740BF9"/>
    <w:rsid w:val="00766D44"/>
    <w:rsid w:val="0078201A"/>
    <w:rsid w:val="007B34C7"/>
    <w:rsid w:val="007E3B6E"/>
    <w:rsid w:val="008A3215"/>
    <w:rsid w:val="0090446B"/>
    <w:rsid w:val="0092184F"/>
    <w:rsid w:val="0098189B"/>
    <w:rsid w:val="0099555E"/>
    <w:rsid w:val="009D2293"/>
    <w:rsid w:val="00A04558"/>
    <w:rsid w:val="00A2765C"/>
    <w:rsid w:val="00A552CC"/>
    <w:rsid w:val="00A73C64"/>
    <w:rsid w:val="00AF1A20"/>
    <w:rsid w:val="00B75148"/>
    <w:rsid w:val="00B854C1"/>
    <w:rsid w:val="00B94A5D"/>
    <w:rsid w:val="00CA1031"/>
    <w:rsid w:val="00CB1DCB"/>
    <w:rsid w:val="00CD1622"/>
    <w:rsid w:val="00CE4234"/>
    <w:rsid w:val="00D07EE8"/>
    <w:rsid w:val="00D13A34"/>
    <w:rsid w:val="00D151CA"/>
    <w:rsid w:val="00D54BDF"/>
    <w:rsid w:val="00D76A60"/>
    <w:rsid w:val="00DC71D9"/>
    <w:rsid w:val="00E617AF"/>
    <w:rsid w:val="00EB2BD1"/>
    <w:rsid w:val="00ED3E51"/>
    <w:rsid w:val="00F31023"/>
    <w:rsid w:val="00F67F65"/>
    <w:rsid w:val="00F86C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E112702"/>
  <w15:chartTrackingRefBased/>
  <w15:docId w15:val="{F5D94C54-67FD-5841-B750-94CD1006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55E"/>
    <w:pPr>
      <w:spacing w:after="240"/>
    </w:pPr>
    <w:rPr>
      <w:rFonts w:ascii="Source Sans Pro" w:hAnsi="Source Sans Pro" w:cstheme="minorHAnsi"/>
      <w:kern w:val="0"/>
      <w:sz w:val="22"/>
      <w:szCs w:val="22"/>
      <w14:ligatures w14:val="none"/>
    </w:rPr>
  </w:style>
  <w:style w:type="paragraph" w:styleId="Heading1">
    <w:name w:val="heading 1"/>
    <w:basedOn w:val="Normal"/>
    <w:next w:val="Normal"/>
    <w:link w:val="Heading1Char"/>
    <w:uiPriority w:val="9"/>
    <w:qFormat/>
    <w:rsid w:val="009955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555E"/>
    <w:pPr>
      <w:outlineLvl w:val="1"/>
    </w:pPr>
    <w:rPr>
      <w:b/>
      <w:bCs/>
    </w:rPr>
  </w:style>
  <w:style w:type="paragraph" w:styleId="Heading3">
    <w:name w:val="heading 3"/>
    <w:basedOn w:val="Normal"/>
    <w:next w:val="Normal"/>
    <w:link w:val="Heading3Char"/>
    <w:uiPriority w:val="9"/>
    <w:unhideWhenUsed/>
    <w:qFormat/>
    <w:rsid w:val="0099555E"/>
    <w:pPr>
      <w:outlineLvl w:val="2"/>
    </w:pPr>
    <w:rPr>
      <w:rFonts w:cs="Arial"/>
      <w:b/>
      <w:bCs/>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4234"/>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234"/>
    <w:pPr>
      <w:ind w:left="720"/>
      <w:contextualSpacing/>
    </w:pPr>
  </w:style>
  <w:style w:type="character" w:customStyle="1" w:styleId="Heading2Char">
    <w:name w:val="Heading 2 Char"/>
    <w:basedOn w:val="DefaultParagraphFont"/>
    <w:link w:val="Heading2"/>
    <w:uiPriority w:val="9"/>
    <w:rsid w:val="0099555E"/>
    <w:rPr>
      <w:rFonts w:ascii="Source Sans Pro" w:hAnsi="Source Sans Pro" w:cstheme="minorHAnsi"/>
      <w:b/>
      <w:bCs/>
      <w:kern w:val="0"/>
      <w:lang w:val="en-GB"/>
      <w14:ligatures w14:val="none"/>
    </w:rPr>
  </w:style>
  <w:style w:type="character" w:customStyle="1" w:styleId="Heading3Char">
    <w:name w:val="Heading 3 Char"/>
    <w:basedOn w:val="DefaultParagraphFont"/>
    <w:link w:val="Heading3"/>
    <w:uiPriority w:val="9"/>
    <w:rsid w:val="0099555E"/>
    <w:rPr>
      <w:rFonts w:ascii="Source Sans Pro" w:hAnsi="Source Sans Pro" w:cs="Arial"/>
      <w:b/>
      <w:bCs/>
      <w:i/>
      <w:iCs/>
      <w:kern w:val="0"/>
      <w:sz w:val="22"/>
      <w:szCs w:val="22"/>
      <w14:ligatures w14:val="none"/>
    </w:rPr>
  </w:style>
  <w:style w:type="character" w:customStyle="1" w:styleId="Heading1Char">
    <w:name w:val="Heading 1 Char"/>
    <w:basedOn w:val="DefaultParagraphFont"/>
    <w:link w:val="Heading1"/>
    <w:uiPriority w:val="9"/>
    <w:rsid w:val="0099555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Waters</dc:creator>
  <cp:keywords/>
  <dc:description/>
  <cp:lastModifiedBy>Mark Waters</cp:lastModifiedBy>
  <cp:revision>11</cp:revision>
  <dcterms:created xsi:type="dcterms:W3CDTF">2023-11-21T08:12:00Z</dcterms:created>
  <dcterms:modified xsi:type="dcterms:W3CDTF">2023-11-21T09:32:00Z</dcterms:modified>
</cp:coreProperties>
</file>